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DB32A3">
      <w:pPr>
        <w:tabs>
          <w:tab w:val="left" w:pos="142"/>
          <w:tab w:val="left" w:pos="284"/>
        </w:tabs>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C23575">
        <w:rPr>
          <w:rFonts w:ascii="Palatino Linotype" w:hAnsi="Palatino Linotype" w:cs="Arial"/>
          <w:b/>
          <w:sz w:val="24"/>
          <w:szCs w:val="24"/>
        </w:rPr>
        <w:t>03286</w:t>
      </w:r>
      <w:r w:rsidR="007E2CF8">
        <w:rPr>
          <w:rFonts w:ascii="Palatino Linotype" w:hAnsi="Palatino Linotype" w:cs="Arial"/>
          <w:b/>
          <w:sz w:val="24"/>
          <w:szCs w:val="24"/>
        </w:rPr>
        <w:t>/INFOEM/IP/RR/</w:t>
      </w:r>
      <w:r w:rsidR="00DB32A3">
        <w:rPr>
          <w:rFonts w:ascii="Palatino Linotype" w:hAnsi="Palatino Linotype" w:cs="Arial"/>
          <w:b/>
          <w:sz w:val="24"/>
          <w:szCs w:val="24"/>
        </w:rPr>
        <w:t>2018</w:t>
      </w:r>
      <w:r w:rsidR="0000525F" w:rsidRPr="00E34F08">
        <w:rPr>
          <w:rFonts w:ascii="Palatino Linotype" w:hAnsi="Palatino Linotype" w:cs="Arial"/>
          <w:b/>
          <w:sz w:val="24"/>
          <w:szCs w:val="24"/>
        </w:rPr>
        <w:t>.</w:t>
      </w:r>
    </w:p>
    <w:p w:rsidR="00105730" w:rsidRPr="0001046D" w:rsidRDefault="00105730" w:rsidP="00DB32A3">
      <w:pPr>
        <w:tabs>
          <w:tab w:val="left" w:pos="142"/>
          <w:tab w:val="left" w:pos="284"/>
        </w:tabs>
        <w:spacing w:after="0" w:line="360" w:lineRule="auto"/>
        <w:jc w:val="both"/>
        <w:rPr>
          <w:rFonts w:ascii="Palatino Linotype" w:hAnsi="Palatino Linotype" w:cs="Arial"/>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Pr="006773C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El presente voto particular señala que</w:t>
      </w:r>
      <w:r>
        <w:rPr>
          <w:rFonts w:ascii="Palatino Linotype" w:hAnsi="Palatino Linotype" w:cs="Arial"/>
          <w:b/>
          <w:sz w:val="24"/>
          <w:szCs w:val="24"/>
        </w:rPr>
        <w:t xml:space="preserve"> </w:t>
      </w:r>
      <w:r w:rsidRPr="00BA071A">
        <w:rPr>
          <w:rFonts w:ascii="Palatino Linotype" w:hAnsi="Palatino Linotype" w:cs="Arial"/>
          <w:sz w:val="24"/>
          <w:szCs w:val="24"/>
        </w:rPr>
        <w:t>en todo momento debemos ajustarnos a lo que establece la normatividad que nos rige como Órgano Garante, por lo que debemos allegarnos de los elementos en específico de cada caso en concreto y apegar el sentido de la resolución con éstos, de modo que el cuerpo de la resolución guarde</w:t>
      </w:r>
      <w:r>
        <w:rPr>
          <w:rFonts w:ascii="Palatino Linotype" w:hAnsi="Palatino Linotype" w:cs="Arial"/>
          <w:sz w:val="24"/>
          <w:szCs w:val="24"/>
        </w:rPr>
        <w:t xml:space="preserve"> congruencia con el sentido de la misma. Así, damos cabal cumplimiento a los principios de certeza y legalidad.</w:t>
      </w: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5591175" cy="41529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591175" cy="41529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88536"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7pt" to="829.3pt,3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" strokecolor="black [3200]" strokeweight="1pt">
                <v:stroke joinstyle="miter"/>
                <w10:wrap anchorx="margin"/>
              </v:line>
            </w:pict>
          </mc:Fallback>
        </mc:AlternateContent>
      </w: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D915FA" w:rsidRDefault="00D915FA" w:rsidP="00DB32A3">
      <w:pPr>
        <w:tabs>
          <w:tab w:val="left" w:pos="142"/>
          <w:tab w:val="left" w:pos="284"/>
        </w:tabs>
        <w:spacing w:after="0" w:line="360" w:lineRule="auto"/>
        <w:jc w:val="both"/>
        <w:rPr>
          <w:rFonts w:ascii="Palatino Linotype" w:hAnsi="Palatino Linotype" w:cs="Arial"/>
          <w:b/>
          <w:sz w:val="24"/>
          <w:szCs w:val="24"/>
        </w:rPr>
      </w:pPr>
    </w:p>
    <w:p w:rsidR="0046491C" w:rsidRPr="0001046D" w:rsidRDefault="00EA2C08" w:rsidP="00DB32A3">
      <w:pPr>
        <w:tabs>
          <w:tab w:val="left" w:pos="142"/>
          <w:tab w:val="left" w:pos="284"/>
        </w:tabs>
        <w:spacing w:after="0" w:line="360" w:lineRule="auto"/>
        <w:jc w:val="both"/>
        <w:rPr>
          <w:rFonts w:ascii="Palatino Linotype" w:hAnsi="Palatino Linotype" w:cs="Arial"/>
          <w:sz w:val="24"/>
          <w:szCs w:val="24"/>
        </w:rPr>
      </w:pPr>
      <w:r w:rsidRPr="00DB32A3">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DB32A3">
          <w:pPr>
            <w:pStyle w:val="TtulodeTDC"/>
            <w:tabs>
              <w:tab w:val="left" w:pos="142"/>
              <w:tab w:val="left" w:pos="284"/>
            </w:tabs>
            <w:spacing w:line="360" w:lineRule="auto"/>
            <w:rPr>
              <w:rFonts w:ascii="Palatino Linotype" w:hAnsi="Palatino Linotype"/>
            </w:rPr>
          </w:pPr>
        </w:p>
        <w:p w:rsidR="00D915FA"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27995410" w:history="1">
            <w:r w:rsidR="00D915FA" w:rsidRPr="00C20556">
              <w:rPr>
                <w:rStyle w:val="Hipervnculo"/>
                <w:rFonts w:ascii="Palatino Linotype" w:hAnsi="Palatino Linotype"/>
                <w:b/>
                <w:noProof/>
              </w:rPr>
              <w:t>I.</w:t>
            </w:r>
            <w:r w:rsidR="00D915FA">
              <w:rPr>
                <w:rFonts w:eastAsiaTheme="minorEastAsia"/>
                <w:noProof/>
                <w:lang w:eastAsia="es-MX"/>
              </w:rPr>
              <w:tab/>
            </w:r>
            <w:r w:rsidR="00D915FA" w:rsidRPr="00C20556">
              <w:rPr>
                <w:rStyle w:val="Hipervnculo"/>
                <w:rFonts w:ascii="Palatino Linotype" w:hAnsi="Palatino Linotype"/>
                <w:b/>
                <w:noProof/>
              </w:rPr>
              <w:t>Consideraciones Generales.</w:t>
            </w:r>
            <w:r w:rsidR="00D915FA">
              <w:rPr>
                <w:noProof/>
                <w:webHidden/>
              </w:rPr>
              <w:tab/>
            </w:r>
            <w:r w:rsidR="00D915FA">
              <w:rPr>
                <w:noProof/>
                <w:webHidden/>
              </w:rPr>
              <w:fldChar w:fldCharType="begin"/>
            </w:r>
            <w:r w:rsidR="00D915FA">
              <w:rPr>
                <w:noProof/>
                <w:webHidden/>
              </w:rPr>
              <w:instrText xml:space="preserve"> PAGEREF _Toc527995410 \h </w:instrText>
            </w:r>
            <w:r w:rsidR="00D915FA">
              <w:rPr>
                <w:noProof/>
                <w:webHidden/>
              </w:rPr>
            </w:r>
            <w:r w:rsidR="00D915FA">
              <w:rPr>
                <w:noProof/>
                <w:webHidden/>
              </w:rPr>
              <w:fldChar w:fldCharType="separate"/>
            </w:r>
            <w:r w:rsidR="00A245F6">
              <w:rPr>
                <w:noProof/>
                <w:webHidden/>
              </w:rPr>
              <w:t>2</w:t>
            </w:r>
            <w:r w:rsidR="00D915FA">
              <w:rPr>
                <w:noProof/>
                <w:webHidden/>
              </w:rPr>
              <w:fldChar w:fldCharType="end"/>
            </w:r>
          </w:hyperlink>
        </w:p>
        <w:p w:rsidR="00D915FA" w:rsidRDefault="006C41CB">
          <w:pPr>
            <w:pStyle w:val="TDC1"/>
            <w:rPr>
              <w:rFonts w:eastAsiaTheme="minorEastAsia"/>
              <w:noProof/>
              <w:lang w:eastAsia="es-MX"/>
            </w:rPr>
          </w:pPr>
          <w:hyperlink w:anchor="_Toc527995411" w:history="1">
            <w:r w:rsidR="00D915FA" w:rsidRPr="00C20556">
              <w:rPr>
                <w:rStyle w:val="Hipervnculo"/>
                <w:rFonts w:ascii="Palatino Linotype" w:hAnsi="Palatino Linotype"/>
                <w:b/>
                <w:noProof/>
              </w:rPr>
              <w:t>II.</w:t>
            </w:r>
            <w:r w:rsidR="00D915FA">
              <w:rPr>
                <w:rFonts w:eastAsiaTheme="minorEastAsia"/>
                <w:noProof/>
                <w:lang w:eastAsia="es-MX"/>
              </w:rPr>
              <w:tab/>
            </w:r>
            <w:r w:rsidR="00D915FA" w:rsidRPr="00C20556">
              <w:rPr>
                <w:rStyle w:val="Hipervnculo"/>
                <w:rFonts w:ascii="Palatino Linotype" w:hAnsi="Palatino Linotype"/>
                <w:b/>
                <w:noProof/>
              </w:rPr>
              <w:t>De los requerimientos planteados en el recurso de revisión.</w:t>
            </w:r>
            <w:r w:rsidR="00D915FA">
              <w:rPr>
                <w:noProof/>
                <w:webHidden/>
              </w:rPr>
              <w:tab/>
            </w:r>
            <w:r w:rsidR="00D915FA">
              <w:rPr>
                <w:noProof/>
                <w:webHidden/>
              </w:rPr>
              <w:fldChar w:fldCharType="begin"/>
            </w:r>
            <w:r w:rsidR="00D915FA">
              <w:rPr>
                <w:noProof/>
                <w:webHidden/>
              </w:rPr>
              <w:instrText xml:space="preserve"> PAGEREF _Toc527995411 \h </w:instrText>
            </w:r>
            <w:r w:rsidR="00D915FA">
              <w:rPr>
                <w:noProof/>
                <w:webHidden/>
              </w:rPr>
            </w:r>
            <w:r w:rsidR="00D915FA">
              <w:rPr>
                <w:noProof/>
                <w:webHidden/>
              </w:rPr>
              <w:fldChar w:fldCharType="separate"/>
            </w:r>
            <w:r w:rsidR="00A245F6">
              <w:rPr>
                <w:noProof/>
                <w:webHidden/>
              </w:rPr>
              <w:t>3</w:t>
            </w:r>
            <w:r w:rsidR="00D915FA">
              <w:rPr>
                <w:noProof/>
                <w:webHidden/>
              </w:rPr>
              <w:fldChar w:fldCharType="end"/>
            </w:r>
          </w:hyperlink>
        </w:p>
        <w:p w:rsidR="00D915FA" w:rsidRDefault="006C41CB">
          <w:pPr>
            <w:pStyle w:val="TDC1"/>
            <w:rPr>
              <w:rFonts w:eastAsiaTheme="minorEastAsia"/>
              <w:noProof/>
              <w:lang w:eastAsia="es-MX"/>
            </w:rPr>
          </w:pPr>
          <w:hyperlink w:anchor="_Toc527995412" w:history="1">
            <w:r w:rsidR="00D915FA" w:rsidRPr="00C20556">
              <w:rPr>
                <w:rStyle w:val="Hipervnculo"/>
                <w:rFonts w:ascii="Palatino Linotype" w:hAnsi="Palatino Linotype" w:cs="Arial"/>
                <w:b/>
                <w:noProof/>
              </w:rPr>
              <w:t xml:space="preserve">III. </w:t>
            </w:r>
            <w:r w:rsidR="00D915FA" w:rsidRPr="00C20556">
              <w:rPr>
                <w:rStyle w:val="Hipervnculo"/>
                <w:rFonts w:ascii="Palatino Linotype" w:hAnsi="Palatino Linotype"/>
                <w:b/>
                <w:noProof/>
              </w:rPr>
              <w:t>Del sobreseimiento contemplado en el artículo 192 de la Ley de Transparencia y Acceso a la Información Pública del Estado de México y Municipios.</w:t>
            </w:r>
            <w:r w:rsidR="00D915FA">
              <w:rPr>
                <w:noProof/>
                <w:webHidden/>
              </w:rPr>
              <w:tab/>
            </w:r>
            <w:r w:rsidR="00D915FA">
              <w:rPr>
                <w:noProof/>
                <w:webHidden/>
              </w:rPr>
              <w:fldChar w:fldCharType="begin"/>
            </w:r>
            <w:r w:rsidR="00D915FA">
              <w:rPr>
                <w:noProof/>
                <w:webHidden/>
              </w:rPr>
              <w:instrText xml:space="preserve"> PAGEREF _Toc527995412 \h </w:instrText>
            </w:r>
            <w:r w:rsidR="00D915FA">
              <w:rPr>
                <w:noProof/>
                <w:webHidden/>
              </w:rPr>
            </w:r>
            <w:r w:rsidR="00D915FA">
              <w:rPr>
                <w:noProof/>
                <w:webHidden/>
              </w:rPr>
              <w:fldChar w:fldCharType="separate"/>
            </w:r>
            <w:r w:rsidR="00A245F6">
              <w:rPr>
                <w:noProof/>
                <w:webHidden/>
              </w:rPr>
              <w:t>5</w:t>
            </w:r>
            <w:r w:rsidR="00D915FA">
              <w:rPr>
                <w:noProof/>
                <w:webHidden/>
              </w:rPr>
              <w:fldChar w:fldCharType="end"/>
            </w:r>
          </w:hyperlink>
        </w:p>
        <w:p w:rsidR="00D915FA" w:rsidRDefault="006C41CB">
          <w:pPr>
            <w:pStyle w:val="TDC1"/>
            <w:rPr>
              <w:rFonts w:eastAsiaTheme="minorEastAsia"/>
              <w:noProof/>
              <w:lang w:eastAsia="es-MX"/>
            </w:rPr>
          </w:pPr>
          <w:hyperlink w:anchor="_Toc527995413" w:history="1">
            <w:r w:rsidR="00D915FA" w:rsidRPr="00C20556">
              <w:rPr>
                <w:rStyle w:val="Hipervnculo"/>
                <w:rFonts w:ascii="Palatino Linotype" w:hAnsi="Palatino Linotype" w:cs="Arial"/>
                <w:b/>
                <w:noProof/>
              </w:rPr>
              <w:t>III. Conclusión.</w:t>
            </w:r>
            <w:r w:rsidR="00D915FA">
              <w:rPr>
                <w:noProof/>
                <w:webHidden/>
              </w:rPr>
              <w:tab/>
            </w:r>
            <w:r w:rsidR="00D915FA">
              <w:rPr>
                <w:noProof/>
                <w:webHidden/>
              </w:rPr>
              <w:fldChar w:fldCharType="begin"/>
            </w:r>
            <w:r w:rsidR="00D915FA">
              <w:rPr>
                <w:noProof/>
                <w:webHidden/>
              </w:rPr>
              <w:instrText xml:space="preserve"> PAGEREF _Toc527995413 \h </w:instrText>
            </w:r>
            <w:r w:rsidR="00D915FA">
              <w:rPr>
                <w:noProof/>
                <w:webHidden/>
              </w:rPr>
            </w:r>
            <w:r w:rsidR="00D915FA">
              <w:rPr>
                <w:noProof/>
                <w:webHidden/>
              </w:rPr>
              <w:fldChar w:fldCharType="separate"/>
            </w:r>
            <w:r w:rsidR="00A245F6">
              <w:rPr>
                <w:noProof/>
                <w:webHidden/>
              </w:rPr>
              <w:t>7</w:t>
            </w:r>
            <w:r w:rsidR="00D915FA">
              <w:rPr>
                <w:noProof/>
                <w:webHidden/>
              </w:rPr>
              <w:fldChar w:fldCharType="end"/>
            </w:r>
          </w:hyperlink>
        </w:p>
        <w:p w:rsidR="0046491C" w:rsidRPr="0001046D" w:rsidRDefault="0046491C" w:rsidP="00DB32A3">
          <w:pPr>
            <w:tabs>
              <w:tab w:val="left" w:pos="142"/>
              <w:tab w:val="left" w:pos="284"/>
            </w:tabs>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DB32A3">
      <w:pPr>
        <w:pStyle w:val="Ttulo1"/>
        <w:numPr>
          <w:ilvl w:val="0"/>
          <w:numId w:val="12"/>
        </w:numPr>
        <w:tabs>
          <w:tab w:val="left" w:pos="142"/>
          <w:tab w:val="left" w:pos="284"/>
        </w:tabs>
        <w:spacing w:line="360" w:lineRule="auto"/>
        <w:ind w:left="0" w:firstLine="0"/>
        <w:rPr>
          <w:rFonts w:ascii="Palatino Linotype" w:hAnsi="Palatino Linotype"/>
          <w:b/>
          <w:color w:val="auto"/>
          <w:sz w:val="24"/>
          <w:szCs w:val="24"/>
        </w:rPr>
      </w:pPr>
      <w:bookmarkStart w:id="0" w:name="_Toc527995410"/>
      <w:r w:rsidRPr="0001046D">
        <w:rPr>
          <w:rFonts w:ascii="Palatino Linotype" w:hAnsi="Palatino Linotype"/>
          <w:b/>
          <w:color w:val="auto"/>
          <w:sz w:val="24"/>
          <w:szCs w:val="24"/>
        </w:rPr>
        <w:t>Consideraciones Generales.</w:t>
      </w:r>
      <w:bookmarkEnd w:id="0"/>
    </w:p>
    <w:p w:rsidR="0046491C" w:rsidRPr="0001046D" w:rsidRDefault="0046491C" w:rsidP="00DB32A3">
      <w:pPr>
        <w:pStyle w:val="Prrafodelista"/>
        <w:tabs>
          <w:tab w:val="left" w:pos="142"/>
          <w:tab w:val="left" w:pos="284"/>
        </w:tabs>
        <w:spacing w:after="0" w:line="360" w:lineRule="auto"/>
        <w:ind w:left="0"/>
        <w:jc w:val="both"/>
        <w:rPr>
          <w:rFonts w:ascii="Palatino Linotype" w:hAnsi="Palatino Linotype" w:cs="Arial"/>
          <w:b/>
          <w:sz w:val="24"/>
          <w:szCs w:val="24"/>
        </w:rPr>
      </w:pPr>
    </w:p>
    <w:p w:rsidR="0046491C" w:rsidRPr="00E34F08" w:rsidRDefault="0046491C" w:rsidP="00DB32A3">
      <w:pPr>
        <w:pStyle w:val="Prrafodelista"/>
        <w:numPr>
          <w:ilvl w:val="0"/>
          <w:numId w:val="1"/>
        </w:numPr>
        <w:tabs>
          <w:tab w:val="left" w:pos="142"/>
          <w:tab w:val="left" w:pos="284"/>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DB32A3">
        <w:rPr>
          <w:rFonts w:ascii="Palatino Linotype" w:hAnsi="Palatino Linotype" w:cs="Arial"/>
          <w:sz w:val="24"/>
          <w:szCs w:val="24"/>
        </w:rPr>
        <w:t xml:space="preserve"> Trigésimo</w:t>
      </w:r>
      <w:r w:rsidR="003837C2">
        <w:rPr>
          <w:rFonts w:ascii="Palatino Linotype" w:hAnsi="Palatino Linotype" w:cs="Arial"/>
          <w:sz w:val="24"/>
          <w:szCs w:val="24"/>
        </w:rPr>
        <w:t xml:space="preserve"> </w:t>
      </w:r>
      <w:r w:rsidR="00DB32A3">
        <w:rPr>
          <w:rFonts w:ascii="Palatino Linotype" w:hAnsi="Palatino Linotype" w:cs="Arial"/>
          <w:sz w:val="24"/>
          <w:szCs w:val="24"/>
        </w:rPr>
        <w:t>Octava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DB32A3">
        <w:rPr>
          <w:rFonts w:ascii="Palatino Linotype" w:hAnsi="Palatino Linotype" w:cs="Arial"/>
          <w:sz w:val="24"/>
          <w:szCs w:val="24"/>
        </w:rPr>
        <w:t>diecisiete</w:t>
      </w:r>
      <w:r w:rsidRPr="00E34F08">
        <w:rPr>
          <w:rFonts w:ascii="Palatino Linotype" w:hAnsi="Palatino Linotype" w:cs="Arial"/>
          <w:sz w:val="24"/>
          <w:szCs w:val="24"/>
        </w:rPr>
        <w:t xml:space="preserve"> (</w:t>
      </w:r>
      <w:r w:rsidR="00ED288D">
        <w:rPr>
          <w:rFonts w:ascii="Palatino Linotype" w:hAnsi="Palatino Linotype" w:cs="Arial"/>
          <w:sz w:val="24"/>
          <w:szCs w:val="24"/>
        </w:rPr>
        <w:t>1</w:t>
      </w:r>
      <w:r w:rsidR="00DB32A3">
        <w:rPr>
          <w:rFonts w:ascii="Palatino Linotype" w:hAnsi="Palatino Linotype" w:cs="Arial"/>
          <w:sz w:val="24"/>
          <w:szCs w:val="24"/>
        </w:rPr>
        <w:t>7</w:t>
      </w:r>
      <w:r w:rsidR="00225026" w:rsidRPr="00E34F08">
        <w:rPr>
          <w:rFonts w:ascii="Palatino Linotype" w:hAnsi="Palatino Linotype" w:cs="Arial"/>
          <w:sz w:val="24"/>
          <w:szCs w:val="24"/>
        </w:rPr>
        <w:t xml:space="preserve">) de </w:t>
      </w:r>
      <w:r w:rsidR="00DB32A3">
        <w:rPr>
          <w:rFonts w:ascii="Palatino Linotype" w:hAnsi="Palatino Linotype" w:cs="Arial"/>
          <w:sz w:val="24"/>
          <w:szCs w:val="24"/>
        </w:rPr>
        <w:t>octubre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64CF5" w:rsidRPr="00064CF5">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w:t>
      </w:r>
      <w:r w:rsidR="008E4128">
        <w:rPr>
          <w:rFonts w:ascii="Palatino Linotype" w:hAnsi="Palatino Linotype" w:cs="Arial"/>
          <w:sz w:val="24"/>
          <w:szCs w:val="24"/>
        </w:rPr>
        <w:t xml:space="preserve"> </w:t>
      </w:r>
      <w:r w:rsidRPr="00E34F08">
        <w:rPr>
          <w:rFonts w:ascii="Palatino Linotype" w:hAnsi="Palatino Linotype" w:cs="Arial"/>
          <w:sz w:val="24"/>
          <w:szCs w:val="24"/>
        </w:rPr>
        <w:t>l</w:t>
      </w:r>
      <w:r w:rsidR="008E4128">
        <w:rPr>
          <w:rFonts w:ascii="Palatino Linotype" w:hAnsi="Palatino Linotype" w:cs="Arial"/>
          <w:sz w:val="24"/>
          <w:szCs w:val="24"/>
        </w:rPr>
        <w:t>a</w:t>
      </w:r>
      <w:r w:rsidRPr="00E34F08">
        <w:rPr>
          <w:rFonts w:ascii="Palatino Linotype" w:hAnsi="Palatino Linotype" w:cs="Arial"/>
          <w:sz w:val="24"/>
          <w:szCs w:val="24"/>
        </w:rPr>
        <w:t xml:space="preserve"> </w:t>
      </w:r>
      <w:r w:rsidR="00DB32A3">
        <w:rPr>
          <w:rFonts w:ascii="Palatino Linotype" w:eastAsia="Calibri" w:hAnsi="Palatino Linotype" w:cs="Times New Roman"/>
          <w:b/>
          <w:sz w:val="24"/>
          <w:szCs w:val="24"/>
          <w:lang w:val="es-ES" w:eastAsia="es-ES"/>
        </w:rPr>
        <w:t>Secretaría de Obra Pública</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DB32A3">
        <w:rPr>
          <w:rFonts w:ascii="Palatino Linotype" w:eastAsia="Times New Roman" w:hAnsi="Palatino Linotype" w:cs="Arial"/>
          <w:b/>
          <w:bCs/>
          <w:sz w:val="24"/>
          <w:szCs w:val="24"/>
          <w:lang w:eastAsia="es-ES"/>
        </w:rPr>
        <w:t>03286</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DB32A3">
      <w:pPr>
        <w:pStyle w:val="Prrafodelista"/>
        <w:tabs>
          <w:tab w:val="left" w:pos="142"/>
          <w:tab w:val="left" w:pos="284"/>
        </w:tabs>
        <w:spacing w:after="0" w:line="360" w:lineRule="auto"/>
        <w:ind w:left="0"/>
        <w:jc w:val="both"/>
        <w:rPr>
          <w:rFonts w:ascii="Palatino Linotype" w:hAnsi="Palatino Linotype" w:cs="Arial"/>
          <w:sz w:val="24"/>
          <w:szCs w:val="24"/>
        </w:rPr>
      </w:pPr>
      <w:bookmarkStart w:id="1" w:name="_GoBack"/>
      <w:bookmarkEnd w:id="1"/>
    </w:p>
    <w:p w:rsidR="00DB32A3" w:rsidRDefault="008E4128" w:rsidP="00DB32A3">
      <w:pPr>
        <w:pStyle w:val="Prrafodelista"/>
        <w:numPr>
          <w:ilvl w:val="0"/>
          <w:numId w:val="1"/>
        </w:numPr>
        <w:tabs>
          <w:tab w:val="left" w:pos="142"/>
          <w:tab w:val="left" w:pos="284"/>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DB32A3">
        <w:rPr>
          <w:rFonts w:ascii="Palatino Linotype" w:hAnsi="Palatino Linotype" w:cs="Arial"/>
          <w:b/>
          <w:sz w:val="24"/>
          <w:szCs w:val="24"/>
        </w:rPr>
        <w:t>SOBRESEER</w:t>
      </w:r>
      <w:r w:rsidR="00DB32A3">
        <w:rPr>
          <w:rFonts w:ascii="Palatino Linotype" w:hAnsi="Palatino Linotype" w:cs="Arial"/>
          <w:sz w:val="24"/>
          <w:szCs w:val="24"/>
        </w:rPr>
        <w:t xml:space="preserve"> </w:t>
      </w:r>
      <w:r w:rsidR="00DB32A3">
        <w:rPr>
          <w:rFonts w:ascii="Palatino Linotype" w:hAnsi="Palatino Linotype" w:cs="Arial"/>
          <w:b/>
          <w:sz w:val="24"/>
          <w:szCs w:val="24"/>
        </w:rPr>
        <w:t>por quedarse sin materia</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DB32A3">
        <w:rPr>
          <w:rFonts w:ascii="Palatino Linotype" w:hAnsi="Palatino Linotype" w:cs="Arial"/>
          <w:sz w:val="24"/>
          <w:szCs w:val="24"/>
        </w:rPr>
        <w:t>Quinto</w:t>
      </w:r>
      <w:r w:rsidR="00BF3534" w:rsidRPr="0001046D">
        <w:rPr>
          <w:rFonts w:ascii="Palatino Linotype" w:hAnsi="Palatino Linotype" w:cs="Arial"/>
          <w:sz w:val="24"/>
          <w:szCs w:val="24"/>
        </w:rPr>
        <w:t xml:space="preserve"> de la resolución</w:t>
      </w:r>
      <w:r w:rsidR="00DB32A3">
        <w:rPr>
          <w:rFonts w:ascii="Palatino Linotype" w:hAnsi="Palatino Linotype" w:cs="Arial"/>
          <w:sz w:val="24"/>
          <w:szCs w:val="24"/>
        </w:rPr>
        <w:t>;</w:t>
      </w:r>
      <w:r w:rsidR="003837C2">
        <w:rPr>
          <w:rFonts w:ascii="Palatino Linotype" w:hAnsi="Palatino Linotype" w:cs="Arial"/>
          <w:sz w:val="24"/>
          <w:szCs w:val="24"/>
        </w:rPr>
        <w:t xml:space="preserve"> </w:t>
      </w:r>
      <w:r w:rsidR="00DB32A3">
        <w:rPr>
          <w:rFonts w:ascii="Palatino Linotype" w:hAnsi="Palatino Linotype" w:cs="Arial"/>
          <w:sz w:val="24"/>
          <w:szCs w:val="24"/>
        </w:rPr>
        <w:t xml:space="preserve">y en atención al numeral 192 </w:t>
      </w:r>
      <w:proofErr w:type="gramStart"/>
      <w:r w:rsidR="00DB32A3">
        <w:rPr>
          <w:rFonts w:ascii="Palatino Linotype" w:hAnsi="Palatino Linotype" w:cs="Arial"/>
          <w:sz w:val="24"/>
          <w:szCs w:val="24"/>
        </w:rPr>
        <w:lastRenderedPageBreak/>
        <w:t>fracción</w:t>
      </w:r>
      <w:proofErr w:type="gramEnd"/>
      <w:r w:rsidR="00DB32A3">
        <w:rPr>
          <w:rFonts w:ascii="Palatino Linotype" w:hAnsi="Palatino Linotype" w:cs="Arial"/>
          <w:sz w:val="24"/>
          <w:szCs w:val="24"/>
        </w:rPr>
        <w:t xml:space="preserve"> V de la Ley de Transparencia y Acceso a la Información Pública del Estado de México y Municipios.</w:t>
      </w:r>
    </w:p>
    <w:p w:rsidR="00DB32A3" w:rsidRDefault="00DB32A3" w:rsidP="00DB32A3">
      <w:pPr>
        <w:pStyle w:val="Prrafodelista"/>
        <w:tabs>
          <w:tab w:val="left" w:pos="142"/>
          <w:tab w:val="left" w:pos="284"/>
        </w:tabs>
        <w:spacing w:before="240" w:after="240" w:line="360" w:lineRule="auto"/>
        <w:ind w:left="0" w:right="49"/>
        <w:jc w:val="both"/>
        <w:rPr>
          <w:rFonts w:ascii="Palatino Linotype" w:hAnsi="Palatino Linotype" w:cs="Arial"/>
          <w:sz w:val="24"/>
          <w:szCs w:val="24"/>
        </w:rPr>
      </w:pPr>
    </w:p>
    <w:p w:rsidR="00EA2C08" w:rsidRDefault="00DB32A3" w:rsidP="00DB32A3">
      <w:pPr>
        <w:pStyle w:val="Prrafodelista"/>
        <w:numPr>
          <w:ilvl w:val="0"/>
          <w:numId w:val="1"/>
        </w:numPr>
        <w:tabs>
          <w:tab w:val="left" w:pos="142"/>
          <w:tab w:val="left" w:pos="284"/>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3837C2">
        <w:rPr>
          <w:rFonts w:ascii="Palatino Linotype" w:hAnsi="Palatino Linotype" w:cs="Arial"/>
          <w:sz w:val="24"/>
          <w:szCs w:val="24"/>
        </w:rPr>
        <w:t>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invocado la</w:t>
      </w:r>
      <w:r>
        <w:rPr>
          <w:rFonts w:ascii="Palatino Linotype" w:hAnsi="Palatino Linotype" w:cs="Arial"/>
          <w:sz w:val="24"/>
          <w:szCs w:val="24"/>
        </w:rPr>
        <w:t xml:space="preserve"> fracción incorrecta del numeral antes citado por las consideraciones de hecho y de derecho que expondré a continuación.</w:t>
      </w:r>
    </w:p>
    <w:p w:rsidR="00EA2C08" w:rsidRPr="00EA2C08" w:rsidRDefault="00EA2C08" w:rsidP="00DB32A3">
      <w:pPr>
        <w:pStyle w:val="Prrafodelista"/>
        <w:tabs>
          <w:tab w:val="left" w:pos="142"/>
          <w:tab w:val="left" w:pos="284"/>
        </w:tabs>
        <w:spacing w:before="240" w:after="240" w:line="360" w:lineRule="auto"/>
        <w:ind w:left="0" w:right="49"/>
        <w:jc w:val="both"/>
        <w:rPr>
          <w:rFonts w:ascii="Palatino Linotype" w:hAnsi="Palatino Linotype" w:cs="Arial"/>
          <w:sz w:val="24"/>
          <w:szCs w:val="24"/>
        </w:rPr>
      </w:pPr>
    </w:p>
    <w:p w:rsidR="0046491C" w:rsidRDefault="0046491C" w:rsidP="00DB32A3">
      <w:pPr>
        <w:pStyle w:val="Prrafodelista"/>
        <w:numPr>
          <w:ilvl w:val="0"/>
          <w:numId w:val="1"/>
        </w:numPr>
        <w:tabs>
          <w:tab w:val="left" w:pos="142"/>
          <w:tab w:val="left" w:pos="284"/>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DB32A3">
      <w:pPr>
        <w:pStyle w:val="Prrafodelista"/>
        <w:tabs>
          <w:tab w:val="left" w:pos="142"/>
          <w:tab w:val="left" w:pos="284"/>
        </w:tabs>
        <w:ind w:left="0"/>
        <w:rPr>
          <w:rFonts w:ascii="Palatino Linotype" w:hAnsi="Palatino Linotype" w:cs="Arial"/>
          <w:sz w:val="24"/>
          <w:szCs w:val="24"/>
        </w:rPr>
      </w:pPr>
    </w:p>
    <w:p w:rsidR="0046491C" w:rsidRPr="0001046D" w:rsidRDefault="0046491C" w:rsidP="00DB32A3">
      <w:pPr>
        <w:pStyle w:val="Ttulo1"/>
        <w:numPr>
          <w:ilvl w:val="0"/>
          <w:numId w:val="12"/>
        </w:numPr>
        <w:tabs>
          <w:tab w:val="left" w:pos="142"/>
          <w:tab w:val="left" w:pos="284"/>
        </w:tabs>
        <w:spacing w:line="360" w:lineRule="auto"/>
        <w:ind w:left="0" w:firstLine="0"/>
        <w:rPr>
          <w:rFonts w:ascii="Palatino Linotype" w:hAnsi="Palatino Linotype"/>
          <w:b/>
          <w:color w:val="auto"/>
          <w:sz w:val="24"/>
          <w:szCs w:val="24"/>
        </w:rPr>
      </w:pPr>
      <w:bookmarkStart w:id="2" w:name="_Toc527995411"/>
      <w:r w:rsidRPr="0001046D">
        <w:rPr>
          <w:rFonts w:ascii="Palatino Linotype" w:hAnsi="Palatino Linotype"/>
          <w:b/>
          <w:color w:val="auto"/>
          <w:sz w:val="24"/>
          <w:szCs w:val="24"/>
        </w:rPr>
        <w:t>De los requerimientos planteados en el recurso de revisión.</w:t>
      </w:r>
      <w:bookmarkEnd w:id="2"/>
    </w:p>
    <w:p w:rsidR="0046491C" w:rsidRPr="00AE4797" w:rsidRDefault="0046491C" w:rsidP="00DB32A3">
      <w:pPr>
        <w:pStyle w:val="Prrafodelista"/>
        <w:tabs>
          <w:tab w:val="left" w:pos="142"/>
          <w:tab w:val="left" w:pos="284"/>
        </w:tabs>
        <w:spacing w:line="360" w:lineRule="auto"/>
        <w:ind w:left="0"/>
        <w:jc w:val="both"/>
        <w:rPr>
          <w:rFonts w:ascii="Palatino Linotype" w:hAnsi="Palatino Linotype" w:cs="Arial"/>
          <w:sz w:val="24"/>
          <w:szCs w:val="24"/>
        </w:rPr>
      </w:pPr>
    </w:p>
    <w:p w:rsidR="009B4E7D" w:rsidRPr="009B4E7D" w:rsidRDefault="008E1DCC" w:rsidP="00DB32A3">
      <w:pPr>
        <w:pStyle w:val="Prrafodelista"/>
        <w:numPr>
          <w:ilvl w:val="0"/>
          <w:numId w:val="1"/>
        </w:numPr>
        <w:tabs>
          <w:tab w:val="left" w:pos="142"/>
          <w:tab w:val="left" w:pos="284"/>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w:t>
      </w:r>
      <w:r w:rsidR="008E4128">
        <w:rPr>
          <w:rFonts w:ascii="Palatino Linotype" w:hAnsi="Palatino Linotype" w:cs="Arial"/>
          <w:sz w:val="24"/>
          <w:szCs w:val="24"/>
        </w:rPr>
        <w:t xml:space="preserve"> </w:t>
      </w:r>
      <w:r w:rsidR="00413496" w:rsidRPr="00F25783">
        <w:rPr>
          <w:rFonts w:ascii="Palatino Linotype" w:hAnsi="Palatino Linotype" w:cs="Arial"/>
          <w:sz w:val="24"/>
          <w:szCs w:val="24"/>
        </w:rPr>
        <w:t>l</w:t>
      </w:r>
      <w:r w:rsidR="008E4128">
        <w:rPr>
          <w:rFonts w:ascii="Palatino Linotype" w:hAnsi="Palatino Linotype" w:cs="Arial"/>
          <w:sz w:val="24"/>
          <w:szCs w:val="24"/>
        </w:rPr>
        <w:t>a</w:t>
      </w:r>
      <w:r w:rsidR="00413496" w:rsidRPr="00F25783">
        <w:rPr>
          <w:rFonts w:ascii="Palatino Linotype" w:hAnsi="Palatino Linotype" w:cs="Arial"/>
          <w:sz w:val="24"/>
          <w:szCs w:val="24"/>
        </w:rPr>
        <w:t xml:space="preserve"> </w:t>
      </w:r>
      <w:r w:rsidR="00DB32A3">
        <w:rPr>
          <w:rFonts w:ascii="Palatino Linotype" w:hAnsi="Palatino Linotype" w:cs="Arial"/>
          <w:b/>
          <w:sz w:val="24"/>
          <w:szCs w:val="24"/>
        </w:rPr>
        <w:t>Secretaría de Obra Pública</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DB32A3">
        <w:rPr>
          <w:rFonts w:ascii="Palatino Linotype" w:hAnsi="Palatino Linotype" w:cs="Arial"/>
          <w:sz w:val="24"/>
          <w:szCs w:val="24"/>
        </w:rPr>
        <w:t>siguiente:</w:t>
      </w:r>
    </w:p>
    <w:p w:rsidR="00E35329" w:rsidRDefault="009B4E7D" w:rsidP="00DB32A3">
      <w:pPr>
        <w:pStyle w:val="Prrafodelista"/>
        <w:tabs>
          <w:tab w:val="left" w:pos="142"/>
          <w:tab w:val="left" w:pos="284"/>
        </w:tabs>
        <w:autoSpaceDE w:val="0"/>
        <w:autoSpaceDN w:val="0"/>
        <w:adjustRightInd w:val="0"/>
        <w:ind w:left="851" w:right="567"/>
        <w:jc w:val="both"/>
        <w:rPr>
          <w:rFonts w:ascii="Palatino Linotype" w:hAnsi="Palatino Linotype" w:cs="Arial"/>
          <w:i/>
        </w:rPr>
      </w:pPr>
      <w:r w:rsidRPr="00EA25FD">
        <w:rPr>
          <w:rFonts w:ascii="Palatino Linotype" w:hAnsi="Palatino Linotype" w:cs="Arial"/>
          <w:i/>
        </w:rPr>
        <w:t>“</w:t>
      </w:r>
      <w:r w:rsidR="00DB32A3" w:rsidRPr="00DB32A3">
        <w:rPr>
          <w:rFonts w:ascii="Palatino Linotype" w:hAnsi="Palatino Linotype" w:cs="Arial"/>
          <w:i/>
        </w:rPr>
        <w:t xml:space="preserve">Solicito me informe el </w:t>
      </w:r>
      <w:proofErr w:type="spellStart"/>
      <w:r w:rsidR="00DB32A3" w:rsidRPr="00DB32A3">
        <w:rPr>
          <w:rFonts w:ascii="Palatino Linotype" w:hAnsi="Palatino Linotype" w:cs="Arial"/>
          <w:i/>
        </w:rPr>
        <w:t>numero</w:t>
      </w:r>
      <w:proofErr w:type="spellEnd"/>
      <w:r w:rsidR="00DB32A3" w:rsidRPr="00DB32A3">
        <w:rPr>
          <w:rFonts w:ascii="Palatino Linotype" w:hAnsi="Palatino Linotype" w:cs="Arial"/>
          <w:i/>
        </w:rPr>
        <w:t xml:space="preserve"> de amparos notificados por la falta de notificación y/o aviso al derecho de oposición al titular de los datos personales ante una solicitud de información </w:t>
      </w:r>
      <w:proofErr w:type="spellStart"/>
      <w:r w:rsidR="00DB32A3" w:rsidRPr="00DB32A3">
        <w:rPr>
          <w:rFonts w:ascii="Palatino Linotype" w:hAnsi="Palatino Linotype" w:cs="Arial"/>
          <w:i/>
        </w:rPr>
        <w:t>publica</w:t>
      </w:r>
      <w:proofErr w:type="spellEnd"/>
      <w:r w:rsidR="00DB32A3" w:rsidRPr="00DB32A3">
        <w:rPr>
          <w:rFonts w:ascii="Palatino Linotype" w:hAnsi="Palatino Linotype" w:cs="Arial"/>
          <w:i/>
        </w:rPr>
        <w:t>, desde el año 2015 a la fecha.</w:t>
      </w:r>
      <w:r>
        <w:rPr>
          <w:rFonts w:ascii="Palatino Linotype" w:hAnsi="Palatino Linotype"/>
          <w:i/>
          <w:lang w:val="es-ES"/>
        </w:rPr>
        <w:t>”</w:t>
      </w:r>
      <w:r w:rsidRPr="000F381D">
        <w:rPr>
          <w:rFonts w:ascii="Palatino Linotype" w:hAnsi="Palatino Linotype"/>
          <w:i/>
          <w:lang w:val="es-ES"/>
        </w:rPr>
        <w:t xml:space="preserve"> </w:t>
      </w:r>
      <w:r w:rsidRPr="00EA25FD">
        <w:rPr>
          <w:rFonts w:ascii="Palatino Linotype" w:hAnsi="Palatino Linotype" w:cs="Arial"/>
          <w:i/>
        </w:rPr>
        <w:t>(Sic</w:t>
      </w:r>
      <w:r w:rsidR="00E35329">
        <w:rPr>
          <w:rFonts w:ascii="Palatino Linotype" w:hAnsi="Palatino Linotype" w:cs="Arial"/>
          <w:i/>
        </w:rPr>
        <w:t>)</w:t>
      </w:r>
    </w:p>
    <w:p w:rsidR="009B4E7D" w:rsidRPr="00E35329" w:rsidRDefault="009B4E7D" w:rsidP="00DB32A3">
      <w:pPr>
        <w:tabs>
          <w:tab w:val="left" w:pos="142"/>
          <w:tab w:val="left" w:pos="284"/>
        </w:tabs>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DB32A3">
      <w:pPr>
        <w:pStyle w:val="Prrafodelista"/>
        <w:numPr>
          <w:ilvl w:val="0"/>
          <w:numId w:val="1"/>
        </w:numPr>
        <w:tabs>
          <w:tab w:val="left" w:pos="142"/>
          <w:tab w:val="left" w:pos="284"/>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DB32A3">
        <w:rPr>
          <w:rFonts w:ascii="Palatino Linotype" w:hAnsi="Palatino Linotype" w:cs="Arial"/>
          <w:sz w:val="24"/>
          <w:szCs w:val="24"/>
        </w:rPr>
        <w:t>, por su parte</w:t>
      </w:r>
      <w:r w:rsidR="0098666F">
        <w:rPr>
          <w:rFonts w:ascii="Palatino Linotype" w:hAnsi="Palatino Linotype" w:cs="Arial"/>
          <w:sz w:val="24"/>
          <w:szCs w:val="24"/>
        </w:rPr>
        <w:t xml:space="preserve"> y a través del Titular de la Unidad de Transparencia</w:t>
      </w:r>
      <w:r w:rsidR="00DB32A3">
        <w:rPr>
          <w:rFonts w:ascii="Palatino Linotype" w:hAnsi="Palatino Linotype" w:cs="Arial"/>
          <w:sz w:val="24"/>
          <w:szCs w:val="24"/>
        </w:rPr>
        <w:t>,</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98666F">
        <w:rPr>
          <w:rFonts w:ascii="Palatino Linotype" w:hAnsi="Palatino Linotype" w:cs="Arial"/>
          <w:sz w:val="24"/>
          <w:szCs w:val="24"/>
        </w:rPr>
        <w:t xml:space="preserve">por medio del oficio SOP-CI-0679/2018, el cual unifica en un solo documento, fragmentos de diversos oficios emitidos por los servidores públicos habilitados de las áreas administrativas de: Coordinación Jurídica, Dirección General de Construcción de Obra Pública, </w:t>
      </w:r>
      <w:r w:rsidR="0098666F">
        <w:rPr>
          <w:rFonts w:ascii="Palatino Linotype" w:hAnsi="Palatino Linotype" w:cs="Arial"/>
          <w:sz w:val="24"/>
          <w:szCs w:val="24"/>
        </w:rPr>
        <w:lastRenderedPageBreak/>
        <w:t>Coordinación General de la Comisión de la Cuenca del Río Lerma, Coordinación Administrativa, Dirección General de Electrificación, Dirección General de Proyectos, Concursos y Contratos y, finalmente, Secretaría T</w:t>
      </w:r>
      <w:r w:rsidR="005F2F40">
        <w:rPr>
          <w:rFonts w:ascii="Palatino Linotype" w:hAnsi="Palatino Linotype" w:cs="Arial"/>
          <w:sz w:val="24"/>
          <w:szCs w:val="24"/>
        </w:rPr>
        <w:t>écnica; los cuáles manifestaron que la información solicitada no obraba en sus archivos.</w:t>
      </w:r>
    </w:p>
    <w:p w:rsidR="009B4E7D" w:rsidRPr="00AE4797" w:rsidRDefault="009B4E7D" w:rsidP="00DB32A3">
      <w:pPr>
        <w:pStyle w:val="Prrafodelista"/>
        <w:tabs>
          <w:tab w:val="left" w:pos="142"/>
          <w:tab w:val="left" w:pos="284"/>
        </w:tabs>
        <w:spacing w:after="0" w:line="360" w:lineRule="auto"/>
        <w:ind w:left="0"/>
        <w:jc w:val="both"/>
        <w:rPr>
          <w:rFonts w:ascii="Palatino Linotype" w:eastAsia="Times New Roman" w:hAnsi="Palatino Linotype" w:cs="Times New Roman"/>
          <w:i/>
          <w:sz w:val="24"/>
          <w:szCs w:val="24"/>
          <w:lang w:val="es-ES_tradnl" w:eastAsia="es-ES"/>
        </w:rPr>
      </w:pPr>
    </w:p>
    <w:p w:rsidR="0094239C" w:rsidRPr="00444048" w:rsidRDefault="0046491C" w:rsidP="00DB32A3">
      <w:pPr>
        <w:pStyle w:val="Prrafodelista"/>
        <w:numPr>
          <w:ilvl w:val="0"/>
          <w:numId w:val="1"/>
        </w:numPr>
        <w:tabs>
          <w:tab w:val="left" w:pos="142"/>
          <w:tab w:val="left" w:pos="284"/>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E30CD7">
        <w:rPr>
          <w:rFonts w:ascii="Palatino Linotype" w:hAnsi="Palatino Linotype" w:cs="Arial"/>
          <w:b/>
        </w:rPr>
        <w:t>RECURRENTE</w:t>
      </w:r>
      <w:r w:rsidR="005F2F40">
        <w:rPr>
          <w:rFonts w:ascii="Palatino Linotype" w:hAnsi="Palatino Linotype" w:cs="Arial"/>
        </w:rPr>
        <w:t>, a través del recurso de revisión se dolió de lo siguiente:</w:t>
      </w:r>
    </w:p>
    <w:p w:rsidR="00444048" w:rsidRDefault="005F2F40" w:rsidP="005F2F40">
      <w:pPr>
        <w:pStyle w:val="Sinespaciado"/>
        <w:ind w:left="851" w:right="567"/>
        <w:jc w:val="both"/>
        <w:rPr>
          <w:rFonts w:ascii="Palatino Linotype" w:hAnsi="Palatino Linotype"/>
        </w:rPr>
      </w:pPr>
      <w:r w:rsidRPr="005F2F40">
        <w:rPr>
          <w:rFonts w:ascii="Palatino Linotype" w:hAnsi="Palatino Linotype"/>
          <w:b/>
        </w:rPr>
        <w:t>Acto impugnado:</w:t>
      </w:r>
      <w:r w:rsidRPr="005F2F40">
        <w:rPr>
          <w:rFonts w:ascii="Palatino Linotype" w:hAnsi="Palatino Linotype"/>
        </w:rPr>
        <w:t xml:space="preserve"> “</w:t>
      </w:r>
      <w:r w:rsidRPr="005F2F40">
        <w:rPr>
          <w:rFonts w:ascii="Palatino Linotype" w:hAnsi="Palatino Linotype"/>
          <w:i/>
        </w:rPr>
        <w:t>ENTREGA RESPUESTA INCOMPLETA</w:t>
      </w:r>
      <w:r w:rsidRPr="005F2F40">
        <w:rPr>
          <w:rFonts w:ascii="Palatino Linotype" w:hAnsi="Palatino Linotype"/>
        </w:rPr>
        <w:t>” (Sic).</w:t>
      </w:r>
    </w:p>
    <w:p w:rsidR="005F2F40" w:rsidRPr="005F2F40" w:rsidRDefault="005F2F40" w:rsidP="005F2F40">
      <w:pPr>
        <w:pStyle w:val="Sinespaciado"/>
        <w:ind w:left="851" w:right="567"/>
        <w:jc w:val="both"/>
        <w:rPr>
          <w:rFonts w:ascii="Palatino Linotype" w:hAnsi="Palatino Linotype"/>
        </w:rPr>
      </w:pPr>
    </w:p>
    <w:p w:rsidR="005F2F40" w:rsidRPr="005F2F40" w:rsidRDefault="005F2F40" w:rsidP="005F2F40">
      <w:pPr>
        <w:pStyle w:val="Sinespaciado"/>
        <w:ind w:left="851" w:right="567"/>
        <w:jc w:val="both"/>
        <w:rPr>
          <w:rFonts w:ascii="Palatino Linotype" w:hAnsi="Palatino Linotype"/>
        </w:rPr>
      </w:pPr>
      <w:r w:rsidRPr="005F2F40">
        <w:rPr>
          <w:rFonts w:ascii="Palatino Linotype" w:hAnsi="Palatino Linotype"/>
        </w:rPr>
        <w:t>R</w:t>
      </w:r>
      <w:r w:rsidRPr="005F2F40">
        <w:rPr>
          <w:rFonts w:ascii="Palatino Linotype" w:hAnsi="Palatino Linotype"/>
          <w:b/>
        </w:rPr>
        <w:t>azones o Motivos de Inconformidad:</w:t>
      </w:r>
      <w:r w:rsidRPr="005F2F40">
        <w:rPr>
          <w:rFonts w:ascii="Palatino Linotype" w:hAnsi="Palatino Linotype"/>
        </w:rPr>
        <w:t xml:space="preserve"> “</w:t>
      </w:r>
      <w:r w:rsidRPr="005F2F40">
        <w:rPr>
          <w:rFonts w:ascii="Palatino Linotype" w:hAnsi="Palatino Linotype"/>
          <w:i/>
        </w:rPr>
        <w:t>SI BIEN EN SU OFICIO DE RESPUESTA REFIERE DIVERSOS OFICIOS ENVIADOS POR DISTINTOS SERVIDORES PÚBLICOS HABILITADOS DEL SUJETO OBLIGADO, ESTOS NO SE ANEXAN A LA RESPUESTA, POR LO QUE CARECE DE CERTEZA LO SEÑALADO POR LA TITULAR DE LA UNIDAD DE TRANSPARENCIA</w:t>
      </w:r>
      <w:r w:rsidRPr="005F2F40">
        <w:rPr>
          <w:rFonts w:ascii="Palatino Linotype" w:hAnsi="Palatino Linotype"/>
        </w:rPr>
        <w:t>.” (Sic).</w:t>
      </w:r>
    </w:p>
    <w:p w:rsidR="005F2F40" w:rsidRPr="0001046D" w:rsidRDefault="005F2F40" w:rsidP="00DB32A3">
      <w:pPr>
        <w:pStyle w:val="Prrafodelista"/>
        <w:tabs>
          <w:tab w:val="left" w:pos="142"/>
          <w:tab w:val="left" w:pos="284"/>
        </w:tabs>
        <w:spacing w:before="240" w:after="240" w:line="360" w:lineRule="auto"/>
        <w:ind w:left="0"/>
        <w:jc w:val="both"/>
        <w:rPr>
          <w:rFonts w:ascii="Palatino Linotype" w:hAnsi="Palatino Linotype" w:cs="Arial"/>
          <w:sz w:val="24"/>
          <w:szCs w:val="24"/>
        </w:rPr>
      </w:pPr>
    </w:p>
    <w:p w:rsidR="00651380" w:rsidRPr="00D915FA" w:rsidRDefault="005F2F40" w:rsidP="00DB32A3">
      <w:pPr>
        <w:pStyle w:val="Prrafodelista"/>
        <w:numPr>
          <w:ilvl w:val="0"/>
          <w:numId w:val="1"/>
        </w:numPr>
        <w:tabs>
          <w:tab w:val="left" w:pos="142"/>
          <w:tab w:val="left" w:pos="284"/>
        </w:tabs>
        <w:spacing w:before="240" w:after="240" w:line="360" w:lineRule="auto"/>
        <w:ind w:left="0" w:right="49" w:firstLine="0"/>
        <w:jc w:val="both"/>
        <w:rPr>
          <w:rFonts w:ascii="Palatino Linotype" w:hAnsi="Palatino Linotype" w:cs="Arial"/>
          <w:sz w:val="24"/>
          <w:szCs w:val="24"/>
        </w:rPr>
      </w:pPr>
      <w:r>
        <w:rPr>
          <w:rFonts w:ascii="Palatino Linotype" w:eastAsia="Calibri" w:hAnsi="Palatino Linotype" w:cs="Times New Roman"/>
          <w:sz w:val="24"/>
          <w:szCs w:val="24"/>
          <w:lang w:val="es-ES" w:eastAsia="es-ES"/>
        </w:rPr>
        <w:t xml:space="preserve">Posteriormente, a través del apartado de </w:t>
      </w:r>
      <w:r>
        <w:rPr>
          <w:rFonts w:ascii="Palatino Linotype" w:eastAsia="Calibri" w:hAnsi="Palatino Linotype" w:cs="Times New Roman"/>
          <w:i/>
          <w:sz w:val="24"/>
          <w:szCs w:val="24"/>
          <w:lang w:val="es-ES" w:eastAsia="es-ES"/>
        </w:rPr>
        <w:t>Manifestaciones</w:t>
      </w:r>
      <w:r>
        <w:rPr>
          <w:rFonts w:ascii="Palatino Linotype" w:eastAsia="Calibri" w:hAnsi="Palatino Linotype" w:cs="Times New Roman"/>
          <w:sz w:val="24"/>
          <w:szCs w:val="24"/>
          <w:lang w:val="es-ES" w:eastAsia="es-ES"/>
        </w:rPr>
        <w:t xml:space="preserve"> del SAIMEX</w:t>
      </w:r>
      <w:r w:rsidR="00DF09A4">
        <w:rPr>
          <w:rFonts w:ascii="Palatino Linotype" w:eastAsia="Calibri" w:hAnsi="Palatino Linotype" w:cs="Times New Roman"/>
          <w:sz w:val="24"/>
          <w:szCs w:val="24"/>
          <w:lang w:val="es-ES" w:eastAsia="es-ES"/>
        </w:rPr>
        <w:t xml:space="preserve">, el </w:t>
      </w:r>
      <w:r w:rsidR="00DF09A4">
        <w:rPr>
          <w:rFonts w:ascii="Palatino Linotype" w:eastAsia="Calibri" w:hAnsi="Palatino Linotype" w:cs="Times New Roman"/>
          <w:b/>
          <w:sz w:val="24"/>
          <w:szCs w:val="24"/>
          <w:lang w:val="es-ES" w:eastAsia="es-ES"/>
        </w:rPr>
        <w:t>SUJETO OBLIGADO</w:t>
      </w:r>
      <w:r w:rsidR="00DF09A4">
        <w:rPr>
          <w:rFonts w:ascii="Palatino Linotype" w:eastAsia="Calibri" w:hAnsi="Palatino Linotype" w:cs="Times New Roman"/>
          <w:sz w:val="24"/>
          <w:szCs w:val="24"/>
          <w:lang w:val="es-ES" w:eastAsia="es-ES"/>
        </w:rPr>
        <w:t xml:space="preserve"> ratificó su respuesta inicial y envió a través de archivo adjunto todos los oficios remitidos por los servidores públicos habilitados de las distintas áreas administrativas mencionadas en su oficio de respuesta.</w:t>
      </w:r>
    </w:p>
    <w:p w:rsidR="00D915FA" w:rsidRDefault="00D915FA" w:rsidP="00D915FA">
      <w:pPr>
        <w:pStyle w:val="Prrafodelista"/>
        <w:tabs>
          <w:tab w:val="left" w:pos="142"/>
          <w:tab w:val="left" w:pos="284"/>
        </w:tabs>
        <w:spacing w:before="240" w:after="240" w:line="360" w:lineRule="auto"/>
        <w:ind w:left="0" w:right="49"/>
        <w:jc w:val="both"/>
        <w:rPr>
          <w:rFonts w:ascii="Palatino Linotype" w:eastAsia="Calibri" w:hAnsi="Palatino Linotype" w:cs="Times New Roman"/>
          <w:sz w:val="24"/>
          <w:szCs w:val="24"/>
          <w:lang w:val="es-ES"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11430</wp:posOffset>
                </wp:positionV>
                <wp:extent cx="5600700" cy="14382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600700" cy="14382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81E02" id="Conector recto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9pt" to="830.8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" strokecolor="black [3200]" strokeweight="1pt">
                <v:stroke joinstyle="miter"/>
                <w10:wrap anchorx="margin"/>
              </v:line>
            </w:pict>
          </mc:Fallback>
        </mc:AlternateContent>
      </w:r>
    </w:p>
    <w:p w:rsidR="00D915FA" w:rsidRDefault="00D915FA" w:rsidP="00D915FA">
      <w:pPr>
        <w:pStyle w:val="Prrafodelista"/>
        <w:tabs>
          <w:tab w:val="left" w:pos="142"/>
          <w:tab w:val="left" w:pos="284"/>
        </w:tabs>
        <w:spacing w:before="240" w:after="240" w:line="360" w:lineRule="auto"/>
        <w:ind w:left="0" w:right="49"/>
        <w:jc w:val="both"/>
        <w:rPr>
          <w:rFonts w:ascii="Palatino Linotype" w:eastAsia="Calibri" w:hAnsi="Palatino Linotype" w:cs="Times New Roman"/>
          <w:sz w:val="24"/>
          <w:szCs w:val="24"/>
          <w:lang w:val="es-ES" w:eastAsia="es-ES"/>
        </w:rPr>
      </w:pPr>
    </w:p>
    <w:p w:rsidR="00D915FA" w:rsidRDefault="00D915FA" w:rsidP="00D915FA">
      <w:pPr>
        <w:pStyle w:val="Prrafodelista"/>
        <w:tabs>
          <w:tab w:val="left" w:pos="142"/>
          <w:tab w:val="left" w:pos="284"/>
        </w:tabs>
        <w:spacing w:before="240" w:after="240" w:line="360" w:lineRule="auto"/>
        <w:ind w:left="0" w:right="49"/>
        <w:jc w:val="both"/>
        <w:rPr>
          <w:rFonts w:ascii="Palatino Linotype" w:eastAsia="Calibri" w:hAnsi="Palatino Linotype" w:cs="Times New Roman"/>
          <w:sz w:val="24"/>
          <w:szCs w:val="24"/>
          <w:lang w:val="es-ES" w:eastAsia="es-ES"/>
        </w:rPr>
      </w:pPr>
    </w:p>
    <w:p w:rsidR="00D915FA" w:rsidRDefault="00D915FA" w:rsidP="00D915FA">
      <w:pPr>
        <w:pStyle w:val="Prrafodelista"/>
        <w:tabs>
          <w:tab w:val="left" w:pos="142"/>
          <w:tab w:val="left" w:pos="284"/>
        </w:tabs>
        <w:spacing w:before="240" w:after="240" w:line="360" w:lineRule="auto"/>
        <w:ind w:left="0" w:right="49"/>
        <w:jc w:val="both"/>
        <w:rPr>
          <w:rFonts w:ascii="Palatino Linotype" w:eastAsia="Calibri" w:hAnsi="Palatino Linotype" w:cs="Times New Roman"/>
          <w:sz w:val="24"/>
          <w:szCs w:val="24"/>
          <w:lang w:val="es-ES" w:eastAsia="es-ES"/>
        </w:rPr>
      </w:pPr>
    </w:p>
    <w:p w:rsidR="00D915FA" w:rsidRPr="00DF09A4" w:rsidRDefault="00D915FA" w:rsidP="00D915FA">
      <w:pPr>
        <w:pStyle w:val="Prrafodelista"/>
        <w:tabs>
          <w:tab w:val="left" w:pos="142"/>
          <w:tab w:val="left" w:pos="284"/>
        </w:tabs>
        <w:spacing w:before="240" w:after="240" w:line="360" w:lineRule="auto"/>
        <w:ind w:left="0" w:right="49"/>
        <w:jc w:val="both"/>
        <w:rPr>
          <w:rFonts w:ascii="Palatino Linotype" w:hAnsi="Palatino Linotype" w:cs="Arial"/>
          <w:sz w:val="24"/>
          <w:szCs w:val="24"/>
        </w:rPr>
      </w:pPr>
    </w:p>
    <w:p w:rsidR="0046491C" w:rsidRPr="0001046D" w:rsidRDefault="00DF09A4" w:rsidP="00DF09A4">
      <w:pPr>
        <w:pStyle w:val="Ttulo1"/>
        <w:tabs>
          <w:tab w:val="left" w:pos="142"/>
          <w:tab w:val="left" w:pos="284"/>
        </w:tabs>
        <w:spacing w:line="360" w:lineRule="auto"/>
        <w:jc w:val="both"/>
        <w:rPr>
          <w:rFonts w:ascii="Palatino Linotype" w:hAnsi="Palatino Linotype"/>
          <w:b/>
          <w:color w:val="auto"/>
          <w:sz w:val="24"/>
          <w:szCs w:val="24"/>
        </w:rPr>
      </w:pPr>
      <w:bookmarkStart w:id="3" w:name="_Toc527995412"/>
      <w:r w:rsidRPr="00DF09A4">
        <w:rPr>
          <w:rFonts w:ascii="Palatino Linotype" w:eastAsiaTheme="minorHAnsi" w:hAnsi="Palatino Linotype" w:cs="Arial"/>
          <w:b/>
          <w:color w:val="auto"/>
          <w:sz w:val="24"/>
          <w:szCs w:val="24"/>
        </w:rPr>
        <w:lastRenderedPageBreak/>
        <w:t xml:space="preserve">III. </w:t>
      </w:r>
      <w:r>
        <w:rPr>
          <w:rFonts w:ascii="Palatino Linotype" w:hAnsi="Palatino Linotype"/>
          <w:b/>
          <w:color w:val="auto"/>
          <w:sz w:val="24"/>
          <w:szCs w:val="24"/>
        </w:rPr>
        <w:t>Del sobreseimiento contemplado en el artículo 192 de la Ley de Transparencia y Acceso a la Información Pública del Estado de México y Municipios.</w:t>
      </w:r>
      <w:bookmarkEnd w:id="3"/>
    </w:p>
    <w:p w:rsidR="0046491C" w:rsidRPr="0001046D" w:rsidRDefault="0046491C" w:rsidP="00DB32A3">
      <w:pPr>
        <w:pStyle w:val="Prrafodelista"/>
        <w:tabs>
          <w:tab w:val="left" w:pos="142"/>
          <w:tab w:val="left" w:pos="284"/>
        </w:tabs>
        <w:spacing w:after="0" w:line="360" w:lineRule="auto"/>
        <w:ind w:left="0"/>
        <w:jc w:val="both"/>
        <w:rPr>
          <w:rFonts w:ascii="Palatino Linotype" w:hAnsi="Palatino Linotype" w:cs="Arial"/>
          <w:b/>
          <w:sz w:val="24"/>
          <w:szCs w:val="24"/>
        </w:rPr>
      </w:pPr>
    </w:p>
    <w:p w:rsidR="00DF09A4" w:rsidRDefault="0046491C" w:rsidP="00DB32A3">
      <w:pPr>
        <w:pStyle w:val="Prrafodelista"/>
        <w:numPr>
          <w:ilvl w:val="0"/>
          <w:numId w:val="1"/>
        </w:numPr>
        <w:tabs>
          <w:tab w:val="left" w:pos="142"/>
          <w:tab w:val="left" w:pos="284"/>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En la resolución se precisa,</w:t>
      </w:r>
      <w:r w:rsidR="00DF09A4">
        <w:rPr>
          <w:rFonts w:ascii="Palatino Linotype" w:hAnsi="Palatino Linotype" w:cs="Arial"/>
          <w:sz w:val="24"/>
          <w:szCs w:val="24"/>
        </w:rPr>
        <w:t xml:space="preserve"> que se actualiza la causal de sobreseimiento contenida en la fracción V del numeral 192 de la Ley de Transparencia y Acceso a la Información Pública del Estado de México y Municipios, sin embargo, en atención al contenido expuesto en el estudio de la resolución, considero que la causal de sobreseimiento actualiza la fracción III, por lo que en atención a lo anterior resulta prudente anexar el artículo en comento:</w:t>
      </w:r>
    </w:p>
    <w:p w:rsidR="00DF4B3C" w:rsidRDefault="00DF4B3C" w:rsidP="00DF4B3C">
      <w:pPr>
        <w:pStyle w:val="Sinespaciado"/>
        <w:ind w:left="851" w:right="567"/>
        <w:jc w:val="both"/>
        <w:rPr>
          <w:rFonts w:ascii="Palatino Linotype" w:hAnsi="Palatino Linotype"/>
          <w:i/>
        </w:rPr>
      </w:pPr>
      <w:r>
        <w:rPr>
          <w:rFonts w:ascii="Palatino Linotype" w:hAnsi="Palatino Linotype"/>
          <w:i/>
        </w:rPr>
        <w:t>“</w:t>
      </w:r>
      <w:r w:rsidRPr="00DF4B3C">
        <w:rPr>
          <w:rFonts w:ascii="Palatino Linotype" w:hAnsi="Palatino Linotype"/>
          <w:b/>
          <w:i/>
        </w:rPr>
        <w:t xml:space="preserve">Artículo 192. </w:t>
      </w:r>
      <w:r w:rsidRPr="00DF4B3C">
        <w:rPr>
          <w:rFonts w:ascii="Palatino Linotype" w:hAnsi="Palatino Linotype"/>
          <w:i/>
        </w:rPr>
        <w:t xml:space="preserve">El recurso será sobreseído, en todo o en parte, cuando una vez admitido, se actualicen alguno de los siguientes supuestos: </w:t>
      </w:r>
    </w:p>
    <w:p w:rsidR="00DF4B3C" w:rsidRDefault="00DF4B3C" w:rsidP="00DF4B3C">
      <w:pPr>
        <w:pStyle w:val="Sinespaciado"/>
        <w:ind w:left="851" w:right="567"/>
        <w:jc w:val="both"/>
        <w:rPr>
          <w:rFonts w:ascii="Palatino Linotype" w:hAnsi="Palatino Linotype"/>
          <w:i/>
        </w:rPr>
      </w:pPr>
      <w:r w:rsidRPr="00DF4B3C">
        <w:rPr>
          <w:rFonts w:ascii="Palatino Linotype" w:hAnsi="Palatino Linotype"/>
          <w:b/>
          <w:i/>
        </w:rPr>
        <w:t>I.</w:t>
      </w:r>
      <w:r w:rsidRPr="00DF4B3C">
        <w:rPr>
          <w:rFonts w:ascii="Palatino Linotype" w:hAnsi="Palatino Linotype"/>
          <w:i/>
        </w:rPr>
        <w:t xml:space="preserve"> El recurrente se desista expresamente del recurso; </w:t>
      </w:r>
    </w:p>
    <w:p w:rsidR="00DF4B3C" w:rsidRDefault="00DF4B3C" w:rsidP="00DF4B3C">
      <w:pPr>
        <w:pStyle w:val="Sinespaciado"/>
        <w:ind w:left="851" w:right="567"/>
        <w:jc w:val="both"/>
        <w:rPr>
          <w:rFonts w:ascii="Palatino Linotype" w:hAnsi="Palatino Linotype"/>
          <w:i/>
        </w:rPr>
      </w:pPr>
      <w:r w:rsidRPr="00DF4B3C">
        <w:rPr>
          <w:rFonts w:ascii="Palatino Linotype" w:hAnsi="Palatino Linotype"/>
          <w:b/>
          <w:i/>
        </w:rPr>
        <w:t>II</w:t>
      </w:r>
      <w:r w:rsidRPr="00DF4B3C">
        <w:rPr>
          <w:rFonts w:ascii="Palatino Linotype" w:hAnsi="Palatino Linotype"/>
          <w:i/>
        </w:rPr>
        <w:t xml:space="preserve">. El recurrente fallezca o, tratándose de personas jurídicas colectivas, se disuelva; </w:t>
      </w:r>
      <w:r w:rsidRPr="00DF4B3C">
        <w:rPr>
          <w:rFonts w:ascii="Palatino Linotype" w:hAnsi="Palatino Linotype"/>
          <w:b/>
          <w:i/>
        </w:rPr>
        <w:t>III.</w:t>
      </w:r>
      <w:r w:rsidRPr="00DF4B3C">
        <w:rPr>
          <w:rFonts w:ascii="Palatino Linotype" w:hAnsi="Palatino Linotype"/>
          <w:i/>
        </w:rPr>
        <w:t xml:space="preserve"> El sujeto obligado responsable del acto lo modifique o revoque de tal manera que el recurso de revisión quede sin materia; </w:t>
      </w:r>
    </w:p>
    <w:p w:rsidR="00DF4B3C" w:rsidRDefault="00DF4B3C" w:rsidP="00DF4B3C">
      <w:pPr>
        <w:pStyle w:val="Sinespaciado"/>
        <w:ind w:left="851" w:right="567"/>
        <w:jc w:val="both"/>
        <w:rPr>
          <w:rFonts w:ascii="Palatino Linotype" w:hAnsi="Palatino Linotype"/>
          <w:i/>
        </w:rPr>
      </w:pPr>
      <w:r w:rsidRPr="00DF4B3C">
        <w:rPr>
          <w:rFonts w:ascii="Palatino Linotype" w:hAnsi="Palatino Linotype"/>
          <w:b/>
          <w:i/>
        </w:rPr>
        <w:t>IV.</w:t>
      </w:r>
      <w:r w:rsidRPr="00DF4B3C">
        <w:rPr>
          <w:rFonts w:ascii="Palatino Linotype" w:hAnsi="Palatino Linotype"/>
          <w:i/>
        </w:rPr>
        <w:t xml:space="preserve"> Admitido el recurso de revisión, aparezca alguna causal de improcedencia en los términos de la presente Ley; y </w:t>
      </w:r>
    </w:p>
    <w:p w:rsidR="00DF09A4" w:rsidRPr="00DF4B3C" w:rsidRDefault="00DF4B3C" w:rsidP="00DF4B3C">
      <w:pPr>
        <w:pStyle w:val="Sinespaciado"/>
        <w:ind w:left="851" w:right="567"/>
        <w:jc w:val="both"/>
        <w:rPr>
          <w:rFonts w:ascii="Palatino Linotype" w:hAnsi="Palatino Linotype" w:cs="Arial"/>
          <w:i/>
          <w:sz w:val="24"/>
          <w:szCs w:val="24"/>
        </w:rPr>
      </w:pPr>
      <w:r w:rsidRPr="00DF4B3C">
        <w:rPr>
          <w:rFonts w:ascii="Palatino Linotype" w:hAnsi="Palatino Linotype"/>
          <w:b/>
          <w:i/>
        </w:rPr>
        <w:t>V.</w:t>
      </w:r>
      <w:r w:rsidRPr="00DF4B3C">
        <w:rPr>
          <w:rFonts w:ascii="Palatino Linotype" w:hAnsi="Palatino Linotype"/>
          <w:i/>
        </w:rPr>
        <w:t xml:space="preserve"> Cuando por cualquier motivo quede sin materia el recurso.</w:t>
      </w:r>
      <w:r>
        <w:rPr>
          <w:rFonts w:ascii="Palatino Linotype" w:hAnsi="Palatino Linotype"/>
          <w:i/>
        </w:rPr>
        <w:t>”</w:t>
      </w:r>
    </w:p>
    <w:p w:rsidR="00DF09A4" w:rsidRDefault="00DF09A4" w:rsidP="00DF09A4">
      <w:pPr>
        <w:pStyle w:val="Prrafodelista"/>
        <w:tabs>
          <w:tab w:val="left" w:pos="142"/>
          <w:tab w:val="left" w:pos="284"/>
        </w:tabs>
        <w:spacing w:after="0" w:line="360" w:lineRule="auto"/>
        <w:ind w:left="0" w:right="49"/>
        <w:jc w:val="both"/>
        <w:rPr>
          <w:rFonts w:ascii="Palatino Linotype" w:hAnsi="Palatino Linotype" w:cs="Arial"/>
          <w:sz w:val="24"/>
          <w:szCs w:val="24"/>
        </w:rPr>
      </w:pPr>
    </w:p>
    <w:p w:rsidR="0082215F" w:rsidRDefault="00DF4B3C" w:rsidP="0082215F">
      <w:pPr>
        <w:pStyle w:val="Prrafodelista"/>
        <w:widowControl w:val="0"/>
        <w:numPr>
          <w:ilvl w:val="0"/>
          <w:numId w:val="3"/>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rPr>
        <w:t xml:space="preserve">Atento a lo anterior y contrario a lo establecido por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el recurso de revisión </w:t>
      </w:r>
      <w:r w:rsidR="0082215F" w:rsidRPr="00B41614">
        <w:rPr>
          <w:rFonts w:ascii="Palatino Linotype" w:hAnsi="Palatino Linotype" w:cs="Arial"/>
          <w:sz w:val="24"/>
          <w:szCs w:val="24"/>
          <w:lang w:val="es-ES"/>
        </w:rPr>
        <w:t xml:space="preserve">debió </w:t>
      </w:r>
      <w:r w:rsidR="0082215F">
        <w:rPr>
          <w:rFonts w:ascii="Palatino Linotype" w:hAnsi="Palatino Linotype" w:cs="Arial"/>
          <w:b/>
          <w:sz w:val="24"/>
          <w:szCs w:val="24"/>
          <w:lang w:val="es-ES"/>
        </w:rPr>
        <w:t>sobreseerse</w:t>
      </w:r>
      <w:r w:rsidR="0082215F" w:rsidRPr="00B41614">
        <w:rPr>
          <w:rFonts w:ascii="Palatino Linotype" w:hAnsi="Palatino Linotype" w:cs="Arial"/>
          <w:sz w:val="24"/>
          <w:szCs w:val="24"/>
          <w:lang w:val="es-ES"/>
        </w:rPr>
        <w:t xml:space="preserve"> por la fracción </w:t>
      </w:r>
      <w:r w:rsidR="0082215F" w:rsidRPr="0082215F">
        <w:rPr>
          <w:rFonts w:ascii="Palatino Linotype" w:hAnsi="Palatino Linotype" w:cs="Arial"/>
          <w:b/>
          <w:sz w:val="24"/>
          <w:szCs w:val="24"/>
          <w:lang w:val="es-ES"/>
        </w:rPr>
        <w:t>III</w:t>
      </w:r>
      <w:r w:rsidR="0082215F" w:rsidRPr="00B41614">
        <w:rPr>
          <w:rFonts w:ascii="Palatino Linotype" w:hAnsi="Palatino Linotype" w:cs="Arial"/>
          <w:sz w:val="24"/>
          <w:szCs w:val="24"/>
          <w:lang w:val="es-ES"/>
        </w:rPr>
        <w:t xml:space="preserve">, más no así, por la </w:t>
      </w:r>
      <w:r w:rsidR="0082215F" w:rsidRPr="0082215F">
        <w:rPr>
          <w:rFonts w:ascii="Palatino Linotype" w:hAnsi="Palatino Linotype" w:cs="Arial"/>
          <w:b/>
          <w:sz w:val="24"/>
          <w:szCs w:val="24"/>
          <w:lang w:val="es-ES"/>
        </w:rPr>
        <w:t>V</w:t>
      </w:r>
      <w:r w:rsidR="0082215F" w:rsidRPr="00B41614">
        <w:rPr>
          <w:rFonts w:ascii="Palatino Linotype" w:hAnsi="Palatino Linotype" w:cs="Arial"/>
          <w:sz w:val="24"/>
          <w:szCs w:val="24"/>
          <w:lang w:val="es-ES"/>
        </w:rPr>
        <w:t xml:space="preserve">, toda vez que el </w:t>
      </w:r>
      <w:r w:rsidR="0082215F" w:rsidRPr="0082215F">
        <w:rPr>
          <w:rFonts w:ascii="Palatino Linotype" w:hAnsi="Palatino Linotype" w:cs="Arial"/>
          <w:b/>
          <w:sz w:val="24"/>
          <w:szCs w:val="24"/>
          <w:lang w:val="es-ES"/>
        </w:rPr>
        <w:t>SUJETO OBLIGADO</w:t>
      </w:r>
      <w:r w:rsidR="0082215F" w:rsidRPr="00B41614">
        <w:rPr>
          <w:rFonts w:ascii="Palatino Linotype" w:hAnsi="Palatino Linotype" w:cs="Arial"/>
          <w:sz w:val="24"/>
          <w:szCs w:val="24"/>
          <w:lang w:val="es-ES"/>
        </w:rPr>
        <w:t xml:space="preserve"> a través de un alcance al informe justificado modifica su respuesta de modo tal que satisface el </w:t>
      </w:r>
      <w:r w:rsidR="0082215F">
        <w:rPr>
          <w:rFonts w:ascii="Palatino Linotype" w:hAnsi="Palatino Linotype" w:cs="Arial"/>
          <w:sz w:val="24"/>
          <w:szCs w:val="24"/>
          <w:lang w:val="es-ES"/>
        </w:rPr>
        <w:t>d</w:t>
      </w:r>
      <w:r w:rsidR="0082215F" w:rsidRPr="00B41614">
        <w:rPr>
          <w:rFonts w:ascii="Palatino Linotype" w:hAnsi="Palatino Linotype" w:cs="Arial"/>
          <w:sz w:val="24"/>
          <w:szCs w:val="24"/>
          <w:lang w:val="es-ES"/>
        </w:rPr>
        <w:t xml:space="preserve">erecho accionado por el particular. Por lo anterior debemos tomar en cuenta los siguientes elementos: </w:t>
      </w:r>
    </w:p>
    <w:p w:rsidR="00D915FA" w:rsidRDefault="00D915FA" w:rsidP="00D915FA">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5079</wp:posOffset>
                </wp:positionV>
                <wp:extent cx="5591175" cy="6191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591175" cy="6191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E8C1A" id="Conector recto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4pt" to="829.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" strokecolor="black [3200]" strokeweight="1pt">
                <v:stroke joinstyle="miter"/>
                <w10:wrap anchorx="margin"/>
              </v:line>
            </w:pict>
          </mc:Fallback>
        </mc:AlternateContent>
      </w:r>
    </w:p>
    <w:p w:rsidR="00D915FA" w:rsidRDefault="00D915FA" w:rsidP="00D915FA">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82215F" w:rsidRDefault="0082215F" w:rsidP="0082215F">
      <w:pPr>
        <w:pStyle w:val="Prrafodelista"/>
        <w:widowControl w:val="0"/>
        <w:numPr>
          <w:ilvl w:val="1"/>
          <w:numId w:val="3"/>
        </w:num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El Sujeto Obligado responsable,</w:t>
      </w:r>
    </w:p>
    <w:p w:rsidR="0082215F" w:rsidRDefault="0082215F" w:rsidP="0082215F">
      <w:pPr>
        <w:pStyle w:val="Prrafodelista"/>
        <w:widowControl w:val="0"/>
        <w:numPr>
          <w:ilvl w:val="1"/>
          <w:numId w:val="3"/>
        </w:num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El acto,</w:t>
      </w:r>
    </w:p>
    <w:p w:rsidR="0082215F" w:rsidRDefault="0082215F" w:rsidP="0082215F">
      <w:pPr>
        <w:pStyle w:val="Prrafodelista"/>
        <w:widowControl w:val="0"/>
        <w:numPr>
          <w:ilvl w:val="1"/>
          <w:numId w:val="3"/>
        </w:num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Que el acto se modifique o revoque de tal manera que el medio de impugnación quede sin efecto o materia.</w:t>
      </w:r>
    </w:p>
    <w:p w:rsidR="0082215F" w:rsidRPr="0082215F" w:rsidRDefault="0082215F" w:rsidP="0082215F">
      <w:pPr>
        <w:rPr>
          <w:rFonts w:ascii="Palatino Linotype" w:hAnsi="Palatino Linotype" w:cs="Arial"/>
          <w:sz w:val="24"/>
          <w:szCs w:val="24"/>
          <w:lang w:val="es-ES"/>
        </w:rPr>
      </w:pPr>
    </w:p>
    <w:p w:rsidR="0082215F" w:rsidRPr="0082215F" w:rsidRDefault="0082215F" w:rsidP="00FF2183">
      <w:pPr>
        <w:pStyle w:val="Prrafodelista"/>
        <w:widowControl w:val="0"/>
        <w:numPr>
          <w:ilvl w:val="0"/>
          <w:numId w:val="1"/>
        </w:numPr>
        <w:tabs>
          <w:tab w:val="left" w:pos="142"/>
          <w:tab w:val="left" w:pos="284"/>
        </w:tabs>
        <w:autoSpaceDE w:val="0"/>
        <w:autoSpaceDN w:val="0"/>
        <w:adjustRightInd w:val="0"/>
        <w:spacing w:before="240" w:after="240" w:line="360" w:lineRule="auto"/>
        <w:ind w:right="49"/>
        <w:jc w:val="both"/>
        <w:rPr>
          <w:rFonts w:ascii="Palatino Linotype" w:hAnsi="Palatino Linotype" w:cs="Arial"/>
          <w:sz w:val="24"/>
          <w:szCs w:val="24"/>
          <w:lang w:val="es-ES"/>
        </w:rPr>
      </w:pPr>
      <w:r w:rsidRPr="0082215F">
        <w:rPr>
          <w:rFonts w:ascii="Palatino Linotype" w:hAnsi="Palatino Linotype" w:cs="Arial"/>
          <w:sz w:val="24"/>
          <w:szCs w:val="24"/>
        </w:rPr>
        <w:t xml:space="preserve">Así las cosas, </w:t>
      </w:r>
      <w:r>
        <w:rPr>
          <w:rFonts w:ascii="Palatino Linotype" w:hAnsi="Palatino Linotype" w:cs="Arial"/>
          <w:sz w:val="24"/>
          <w:szCs w:val="24"/>
        </w:rPr>
        <w:t>e</w:t>
      </w:r>
      <w:r w:rsidRPr="0082215F">
        <w:rPr>
          <w:rFonts w:ascii="Palatino Linotype" w:hAnsi="Palatino Linotype" w:cs="Arial"/>
          <w:sz w:val="24"/>
          <w:szCs w:val="24"/>
        </w:rPr>
        <w:t xml:space="preserve">l primer elemento normativo, se actualiza ya que el </w:t>
      </w:r>
      <w:r w:rsidRPr="0082215F">
        <w:rPr>
          <w:rFonts w:ascii="Palatino Linotype" w:hAnsi="Palatino Linotype" w:cs="Arial"/>
          <w:b/>
          <w:sz w:val="24"/>
          <w:szCs w:val="24"/>
        </w:rPr>
        <w:t xml:space="preserve">SUJETO OBLIGADO </w:t>
      </w:r>
      <w:r w:rsidRPr="0082215F">
        <w:rPr>
          <w:rFonts w:ascii="Palatino Linotype" w:hAnsi="Palatino Linotype" w:cs="Arial"/>
          <w:sz w:val="24"/>
          <w:szCs w:val="24"/>
        </w:rPr>
        <w:t xml:space="preserve">responsable, es </w:t>
      </w:r>
      <w:r w:rsidRPr="0082215F">
        <w:rPr>
          <w:rFonts w:ascii="Palatino Linotype" w:hAnsi="Palatino Linotype"/>
          <w:color w:val="000000"/>
          <w:sz w:val="24"/>
          <w:szCs w:val="24"/>
        </w:rPr>
        <w:t>la</w:t>
      </w:r>
      <w:r w:rsidRPr="0082215F">
        <w:rPr>
          <w:rFonts w:ascii="Palatino Linotype" w:hAnsi="Palatino Linotype" w:cs="Arial"/>
          <w:sz w:val="24"/>
          <w:szCs w:val="24"/>
        </w:rPr>
        <w:t xml:space="preserve"> </w:t>
      </w:r>
      <w:r>
        <w:rPr>
          <w:rFonts w:ascii="Palatino Linotype" w:hAnsi="Palatino Linotype" w:cs="Arial"/>
          <w:b/>
          <w:sz w:val="24"/>
          <w:szCs w:val="24"/>
        </w:rPr>
        <w:t>Secretaría de Obra Pública del Estado de México</w:t>
      </w:r>
      <w:r w:rsidRPr="0082215F">
        <w:rPr>
          <w:rFonts w:ascii="Palatino Linotype" w:hAnsi="Palatino Linotype" w:cs="Arial"/>
          <w:b/>
          <w:sz w:val="24"/>
          <w:szCs w:val="24"/>
        </w:rPr>
        <w:t>.</w:t>
      </w:r>
    </w:p>
    <w:p w:rsidR="0082215F" w:rsidRPr="00B41614" w:rsidRDefault="0082215F" w:rsidP="0082215F">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82215F" w:rsidRPr="00B41614" w:rsidRDefault="0082215F" w:rsidP="0082215F">
      <w:pPr>
        <w:pStyle w:val="Prrafodelista"/>
        <w:widowControl w:val="0"/>
        <w:numPr>
          <w:ilvl w:val="0"/>
          <w:numId w:val="1"/>
        </w:numPr>
        <w:autoSpaceDE w:val="0"/>
        <w:autoSpaceDN w:val="0"/>
        <w:adjustRightInd w:val="0"/>
        <w:spacing w:before="240" w:after="240" w:line="360" w:lineRule="auto"/>
        <w:jc w:val="both"/>
        <w:rPr>
          <w:rFonts w:ascii="Palatino Linotype" w:hAnsi="Palatino Linotype" w:cs="Arial"/>
          <w:sz w:val="24"/>
          <w:szCs w:val="24"/>
          <w:lang w:val="es-ES"/>
        </w:rPr>
      </w:pPr>
      <w:r w:rsidRPr="00B41614">
        <w:rPr>
          <w:rFonts w:ascii="Palatino Linotype" w:hAnsi="Palatino Linotype" w:cs="Arial"/>
          <w:sz w:val="24"/>
          <w:szCs w:val="24"/>
        </w:rPr>
        <w:t xml:space="preserve">El segundo elemento se actualiza toda vez que </w:t>
      </w:r>
      <w:r w:rsidRPr="0082215F">
        <w:rPr>
          <w:rFonts w:ascii="Palatino Linotype" w:hAnsi="Palatino Linotype" w:cs="Arial"/>
          <w:b/>
          <w:sz w:val="24"/>
          <w:szCs w:val="24"/>
        </w:rPr>
        <w:t>existió una respuesta</w:t>
      </w:r>
      <w:r w:rsidRPr="00B41614">
        <w:rPr>
          <w:rFonts w:ascii="Palatino Linotype" w:hAnsi="Palatino Linotype" w:cs="Arial"/>
          <w:sz w:val="24"/>
          <w:szCs w:val="24"/>
        </w:rPr>
        <w:t>, la que se configura como el acto del presente recurso de revisión.</w:t>
      </w:r>
    </w:p>
    <w:p w:rsidR="0082215F" w:rsidRPr="00B41614" w:rsidRDefault="0082215F" w:rsidP="0082215F">
      <w:pPr>
        <w:pStyle w:val="Prrafodelista"/>
        <w:rPr>
          <w:rFonts w:ascii="Palatino Linotype" w:hAnsi="Palatino Linotype" w:cs="Arial"/>
          <w:sz w:val="24"/>
          <w:szCs w:val="24"/>
          <w:lang w:val="es-ES"/>
        </w:rPr>
      </w:pPr>
    </w:p>
    <w:p w:rsidR="0082215F" w:rsidRPr="00B41614" w:rsidRDefault="0082215F" w:rsidP="0082215F">
      <w:pPr>
        <w:pStyle w:val="Prrafodelista"/>
        <w:widowControl w:val="0"/>
        <w:numPr>
          <w:ilvl w:val="0"/>
          <w:numId w:val="1"/>
        </w:numPr>
        <w:autoSpaceDE w:val="0"/>
        <w:autoSpaceDN w:val="0"/>
        <w:adjustRightInd w:val="0"/>
        <w:spacing w:before="240" w:after="240" w:line="360" w:lineRule="auto"/>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Mientras que el tercer elemento normativo que compone la fracción III del artículo 192, se actualiza al momento en que el </w:t>
      </w:r>
      <w:r w:rsidRPr="0082215F">
        <w:rPr>
          <w:rFonts w:ascii="Palatino Linotype" w:hAnsi="Palatino Linotype" w:cs="Arial"/>
          <w:b/>
          <w:sz w:val="24"/>
          <w:szCs w:val="24"/>
          <w:lang w:val="es-ES"/>
        </w:rPr>
        <w:t>SUJETO OBLIGADO</w:t>
      </w:r>
      <w:r w:rsidRPr="00B41614">
        <w:rPr>
          <w:rFonts w:ascii="Palatino Linotype" w:hAnsi="Palatino Linotype" w:cs="Arial"/>
          <w:sz w:val="24"/>
          <w:szCs w:val="24"/>
          <w:lang w:val="es-ES"/>
        </w:rPr>
        <w:t xml:space="preserve"> </w:t>
      </w:r>
      <w:r>
        <w:rPr>
          <w:rFonts w:ascii="Palatino Linotype" w:hAnsi="Palatino Linotype" w:cs="Arial"/>
          <w:sz w:val="24"/>
          <w:szCs w:val="24"/>
          <w:lang w:val="es-ES"/>
        </w:rPr>
        <w:t>por medio de documento adjunto al</w:t>
      </w:r>
      <w:r w:rsidRPr="00B41614">
        <w:rPr>
          <w:rFonts w:ascii="Palatino Linotype" w:hAnsi="Palatino Linotype" w:cs="Arial"/>
          <w:sz w:val="24"/>
          <w:szCs w:val="24"/>
          <w:lang w:val="es-ES"/>
        </w:rPr>
        <w:t xml:space="preserve"> informe justificado remitió </w:t>
      </w:r>
      <w:r>
        <w:rPr>
          <w:rFonts w:ascii="Palatino Linotype" w:hAnsi="Palatino Linotype" w:cs="Arial"/>
          <w:sz w:val="24"/>
          <w:szCs w:val="24"/>
          <w:lang w:val="es-ES"/>
        </w:rPr>
        <w:t>los oficios signados por diversos servidores públicos habilitados en los que manifestaron que no contaban con la información solicitada dentro de sus archivos;</w:t>
      </w:r>
      <w:r w:rsidRPr="00B41614">
        <w:rPr>
          <w:rFonts w:ascii="Palatino Linotype" w:hAnsi="Palatino Linotype" w:cs="Arial"/>
          <w:sz w:val="24"/>
          <w:szCs w:val="24"/>
          <w:lang w:val="es-ES"/>
        </w:rPr>
        <w:t xml:space="preserve"> misma información que corresponde con la inconformidad hecha valer por </w:t>
      </w:r>
      <w:r>
        <w:rPr>
          <w:rFonts w:ascii="Palatino Linotype" w:hAnsi="Palatino Linotype" w:cs="Arial"/>
          <w:sz w:val="24"/>
          <w:szCs w:val="24"/>
          <w:lang w:val="es-ES"/>
        </w:rPr>
        <w:t xml:space="preserve">el </w:t>
      </w:r>
      <w:r>
        <w:rPr>
          <w:rFonts w:ascii="Palatino Linotype" w:hAnsi="Palatino Linotype" w:cs="Arial"/>
          <w:b/>
          <w:sz w:val="24"/>
          <w:szCs w:val="24"/>
          <w:lang w:val="es-ES"/>
        </w:rPr>
        <w:t>RECURRENTE</w:t>
      </w:r>
      <w:r w:rsidRPr="00B41614">
        <w:rPr>
          <w:rFonts w:ascii="Palatino Linotype" w:hAnsi="Palatino Linotype" w:cs="Arial"/>
          <w:sz w:val="24"/>
          <w:szCs w:val="24"/>
          <w:lang w:val="es-ES"/>
        </w:rPr>
        <w:t>.</w:t>
      </w:r>
    </w:p>
    <w:p w:rsidR="0082215F" w:rsidRPr="00BA071A" w:rsidRDefault="0082215F" w:rsidP="0082215F">
      <w:pPr>
        <w:pStyle w:val="Prrafodelista"/>
        <w:rPr>
          <w:rFonts w:ascii="Palatino Linotype" w:hAnsi="Palatino Linotype" w:cs="Arial"/>
          <w:sz w:val="24"/>
          <w:szCs w:val="24"/>
          <w:lang w:val="es-ES"/>
        </w:rPr>
      </w:pPr>
    </w:p>
    <w:p w:rsidR="0082215F" w:rsidRDefault="0082215F" w:rsidP="0082215F">
      <w:pPr>
        <w:pStyle w:val="Prrafodelista"/>
        <w:widowControl w:val="0"/>
        <w:numPr>
          <w:ilvl w:val="0"/>
          <w:numId w:val="1"/>
        </w:num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Es con esto que finalmente se cumple con lo que establece el precepto legal citado, en razón de que con la información remitida </w:t>
      </w:r>
      <w:r w:rsidR="00D915FA">
        <w:rPr>
          <w:rFonts w:ascii="Palatino Linotype" w:hAnsi="Palatino Linotype" w:cs="Arial"/>
          <w:sz w:val="24"/>
          <w:szCs w:val="24"/>
          <w:lang w:val="es-ES"/>
        </w:rPr>
        <w:t>adjunta</w:t>
      </w:r>
      <w:r>
        <w:rPr>
          <w:rFonts w:ascii="Palatino Linotype" w:hAnsi="Palatino Linotype" w:cs="Arial"/>
          <w:sz w:val="24"/>
          <w:szCs w:val="24"/>
          <w:lang w:val="es-ES"/>
        </w:rPr>
        <w:t xml:space="preserve"> al informe </w:t>
      </w:r>
      <w:r>
        <w:rPr>
          <w:rFonts w:ascii="Palatino Linotype" w:hAnsi="Palatino Linotype" w:cs="Arial"/>
          <w:sz w:val="24"/>
          <w:szCs w:val="24"/>
          <w:lang w:val="es-ES"/>
        </w:rPr>
        <w:lastRenderedPageBreak/>
        <w:t>justificado se modifica el acto principal que es la respuesta y la modificación es tal, que deja sin efecto o materia el acto impugnado.</w:t>
      </w:r>
    </w:p>
    <w:p w:rsidR="00D915FA" w:rsidRDefault="00D915FA" w:rsidP="00D915FA">
      <w:pPr>
        <w:pStyle w:val="Prrafodelista"/>
        <w:widowControl w:val="0"/>
        <w:autoSpaceDE w:val="0"/>
        <w:autoSpaceDN w:val="0"/>
        <w:adjustRightInd w:val="0"/>
        <w:spacing w:before="240" w:after="240" w:line="360" w:lineRule="auto"/>
        <w:ind w:left="502"/>
        <w:jc w:val="both"/>
        <w:rPr>
          <w:rFonts w:ascii="Palatino Linotype" w:hAnsi="Palatino Linotype" w:cs="Arial"/>
          <w:sz w:val="24"/>
          <w:szCs w:val="24"/>
          <w:lang w:val="es-ES"/>
        </w:rPr>
      </w:pPr>
    </w:p>
    <w:p w:rsidR="00DF09A4" w:rsidRDefault="00D915FA" w:rsidP="00DB32A3">
      <w:pPr>
        <w:pStyle w:val="Prrafodelista"/>
        <w:numPr>
          <w:ilvl w:val="0"/>
          <w:numId w:val="1"/>
        </w:numPr>
        <w:tabs>
          <w:tab w:val="left" w:pos="142"/>
          <w:tab w:val="left" w:pos="284"/>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Siendo </w:t>
      </w:r>
      <w:r>
        <w:rPr>
          <w:rFonts w:ascii="Palatino Linotype" w:hAnsi="Palatino Linotype" w:cs="Arial"/>
          <w:sz w:val="24"/>
          <w:szCs w:val="24"/>
          <w:lang w:val="es-ES"/>
        </w:rPr>
        <w:t xml:space="preserve">por lo anteriormente referido que el presente recurso de revisión en efecto, debió ser sobreseído tal como fue señalado, más no con la fracción V invocado por la Ponencia </w:t>
      </w:r>
      <w:proofErr w:type="spellStart"/>
      <w:r>
        <w:rPr>
          <w:rFonts w:ascii="Palatino Linotype" w:hAnsi="Palatino Linotype" w:cs="Arial"/>
          <w:sz w:val="24"/>
          <w:szCs w:val="24"/>
          <w:lang w:val="es-ES"/>
        </w:rPr>
        <w:t>Resolutora</w:t>
      </w:r>
      <w:proofErr w:type="spellEnd"/>
      <w:r>
        <w:rPr>
          <w:rFonts w:ascii="Palatino Linotype" w:hAnsi="Palatino Linotype" w:cs="Arial"/>
          <w:sz w:val="24"/>
          <w:szCs w:val="24"/>
          <w:lang w:val="es-ES"/>
        </w:rPr>
        <w:t>, sino con la fracción III puesto que he expuesto que cumple con los elementos normativos.</w:t>
      </w:r>
    </w:p>
    <w:p w:rsidR="00DF4B3C" w:rsidRDefault="00DF4B3C" w:rsidP="00DF4B3C">
      <w:pPr>
        <w:pStyle w:val="Prrafodelista"/>
        <w:tabs>
          <w:tab w:val="left" w:pos="142"/>
          <w:tab w:val="left" w:pos="284"/>
        </w:tabs>
        <w:spacing w:after="0" w:line="360" w:lineRule="auto"/>
        <w:ind w:left="0" w:right="49"/>
        <w:jc w:val="both"/>
        <w:rPr>
          <w:rFonts w:ascii="Palatino Linotype" w:hAnsi="Palatino Linotype" w:cs="Arial"/>
          <w:sz w:val="24"/>
          <w:szCs w:val="24"/>
        </w:rPr>
      </w:pPr>
    </w:p>
    <w:p w:rsidR="00D915FA" w:rsidRPr="00D915FA" w:rsidRDefault="00D915FA" w:rsidP="00D915FA">
      <w:pPr>
        <w:pStyle w:val="Prrafodelista"/>
        <w:tabs>
          <w:tab w:val="left" w:pos="142"/>
          <w:tab w:val="left" w:pos="284"/>
        </w:tabs>
        <w:spacing w:after="0" w:line="360" w:lineRule="auto"/>
        <w:ind w:left="0" w:right="49"/>
        <w:jc w:val="both"/>
        <w:outlineLvl w:val="0"/>
        <w:rPr>
          <w:rFonts w:ascii="Palatino Linotype" w:hAnsi="Palatino Linotype" w:cs="Arial"/>
          <w:b/>
          <w:sz w:val="24"/>
          <w:szCs w:val="24"/>
        </w:rPr>
      </w:pPr>
      <w:bookmarkStart w:id="4" w:name="_Toc527995413"/>
      <w:r w:rsidRPr="00D915FA">
        <w:rPr>
          <w:rFonts w:ascii="Palatino Linotype" w:hAnsi="Palatino Linotype" w:cs="Arial"/>
          <w:b/>
          <w:sz w:val="24"/>
          <w:szCs w:val="24"/>
        </w:rPr>
        <w:t>III. Conclusión.</w:t>
      </w:r>
      <w:bookmarkEnd w:id="4"/>
    </w:p>
    <w:p w:rsidR="00D915FA" w:rsidRDefault="00D915FA" w:rsidP="00DF4B3C">
      <w:pPr>
        <w:pStyle w:val="Prrafodelista"/>
        <w:tabs>
          <w:tab w:val="left" w:pos="142"/>
          <w:tab w:val="left" w:pos="284"/>
        </w:tabs>
        <w:spacing w:after="0" w:line="360" w:lineRule="auto"/>
        <w:ind w:left="0" w:right="49"/>
        <w:jc w:val="both"/>
        <w:rPr>
          <w:rFonts w:ascii="Palatino Linotype" w:hAnsi="Palatino Linotype" w:cs="Arial"/>
          <w:sz w:val="24"/>
          <w:szCs w:val="24"/>
        </w:rPr>
      </w:pPr>
    </w:p>
    <w:p w:rsidR="00D915FA" w:rsidRDefault="00D915FA" w:rsidP="00D915FA">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Al momento de elaborar un proyecto de resolución, se deben tener presentes todos los elementos que son aportados, tanto por el </w:t>
      </w:r>
      <w:r w:rsidRPr="00D915FA">
        <w:rPr>
          <w:rFonts w:ascii="Palatino Linotype" w:hAnsi="Palatino Linotype" w:cs="Arial"/>
          <w:b/>
          <w:sz w:val="24"/>
          <w:szCs w:val="24"/>
        </w:rPr>
        <w:t>SUJETO OBLIGADO</w:t>
      </w:r>
      <w:r>
        <w:rPr>
          <w:rFonts w:ascii="Palatino Linotype" w:hAnsi="Palatino Linotype" w:cs="Arial"/>
          <w:sz w:val="24"/>
          <w:szCs w:val="24"/>
        </w:rPr>
        <w:t xml:space="preserve"> como la parte </w:t>
      </w:r>
      <w:r w:rsidRPr="00D915FA">
        <w:rPr>
          <w:rFonts w:ascii="Palatino Linotype" w:hAnsi="Palatino Linotype" w:cs="Arial"/>
          <w:b/>
          <w:sz w:val="24"/>
          <w:szCs w:val="24"/>
        </w:rPr>
        <w:t>RECURRENTE</w:t>
      </w:r>
      <w:r>
        <w:rPr>
          <w:rFonts w:ascii="Palatino Linotype" w:hAnsi="Palatino Linotype" w:cs="Arial"/>
          <w:sz w:val="24"/>
          <w:szCs w:val="24"/>
        </w:rPr>
        <w:t>, en razón de que todos son importantes para el correcto desarrollo del proyecto y, en base a ello pueda éste Órgano Garante determinar la forma en que será aprobado, toda vez que si bien es cierto el sentido de la resolución es la misma, es decir, un sobreseimiento, la causal que dio origen no corresponde con las actuaciones que fueron vertidas a lo largo del procedimiento.</w:t>
      </w: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17779</wp:posOffset>
                </wp:positionV>
                <wp:extent cx="5591175" cy="16859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591175" cy="16859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84763" id="Conector recto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1.4pt" to="829.3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" strokecolor="black [3200]" strokeweight="1pt">
                <v:stroke joinstyle="miter"/>
                <w10:wrap anchorx="margin"/>
              </v:line>
            </w:pict>
          </mc:Fallback>
        </mc:AlternateContent>
      </w: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A245F6" w:rsidRDefault="00A245F6" w:rsidP="00DB32A3">
      <w:pPr>
        <w:pStyle w:val="Sinespaciado"/>
        <w:tabs>
          <w:tab w:val="left" w:pos="142"/>
          <w:tab w:val="left" w:pos="284"/>
        </w:tabs>
        <w:spacing w:line="360" w:lineRule="auto"/>
        <w:jc w:val="center"/>
        <w:rPr>
          <w:rFonts w:ascii="Palatino Linotype" w:hAnsi="Palatino Linotype"/>
          <w:b/>
          <w:sz w:val="24"/>
          <w:szCs w:val="24"/>
        </w:rPr>
      </w:pPr>
    </w:p>
    <w:p w:rsidR="00D915FA" w:rsidRDefault="00D915FA" w:rsidP="00DB32A3">
      <w:pPr>
        <w:pStyle w:val="Sinespaciado"/>
        <w:tabs>
          <w:tab w:val="left" w:pos="142"/>
          <w:tab w:val="left" w:pos="284"/>
        </w:tabs>
        <w:spacing w:line="360" w:lineRule="auto"/>
        <w:jc w:val="center"/>
        <w:rPr>
          <w:rFonts w:ascii="Palatino Linotype" w:hAnsi="Palatino Linotype"/>
          <w:b/>
          <w:sz w:val="24"/>
          <w:szCs w:val="24"/>
        </w:rPr>
      </w:pPr>
    </w:p>
    <w:p w:rsidR="0046491C" w:rsidRPr="0001046D" w:rsidRDefault="0046491C" w:rsidP="00DB32A3">
      <w:pPr>
        <w:pStyle w:val="Sinespaciado"/>
        <w:tabs>
          <w:tab w:val="left" w:pos="142"/>
          <w:tab w:val="left" w:pos="284"/>
        </w:tabs>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DB32A3">
      <w:pPr>
        <w:tabs>
          <w:tab w:val="left" w:pos="142"/>
          <w:tab w:val="left" w:pos="284"/>
        </w:tabs>
        <w:spacing w:line="360" w:lineRule="auto"/>
        <w:jc w:val="center"/>
        <w:rPr>
          <w:rFonts w:ascii="Palatino Linotype" w:hAnsi="Palatino Linotype"/>
        </w:rPr>
      </w:pPr>
      <w:r w:rsidRPr="0001046D">
        <w:rPr>
          <w:rFonts w:ascii="Palatino Linotype" w:hAnsi="Palatino Linotype"/>
          <w:b/>
          <w:sz w:val="24"/>
          <w:szCs w:val="24"/>
        </w:rPr>
        <w:t>COMISIONADO</w:t>
      </w:r>
    </w:p>
    <w:p w:rsidR="00B62486" w:rsidRDefault="00B62486" w:rsidP="00DB32A3">
      <w:pPr>
        <w:tabs>
          <w:tab w:val="left" w:pos="142"/>
          <w:tab w:val="left" w:pos="284"/>
        </w:tabs>
        <w:spacing w:line="360" w:lineRule="auto"/>
        <w:rPr>
          <w:rFonts w:ascii="Palatino Linotype" w:hAnsi="Palatino Linotype"/>
          <w:b/>
          <w:sz w:val="24"/>
          <w:szCs w:val="24"/>
        </w:rPr>
      </w:pPr>
    </w:p>
    <w:p w:rsidR="00A245F6" w:rsidRDefault="00A245F6" w:rsidP="00DB32A3">
      <w:pPr>
        <w:tabs>
          <w:tab w:val="left" w:pos="142"/>
          <w:tab w:val="left" w:pos="284"/>
        </w:tabs>
        <w:spacing w:line="360" w:lineRule="auto"/>
        <w:rPr>
          <w:rFonts w:ascii="Palatino Linotype" w:hAnsi="Palatino Linotype"/>
          <w:b/>
          <w:sz w:val="24"/>
          <w:szCs w:val="24"/>
        </w:rPr>
      </w:pPr>
    </w:p>
    <w:p w:rsidR="00A245F6" w:rsidRDefault="00A245F6" w:rsidP="00DB32A3">
      <w:pPr>
        <w:tabs>
          <w:tab w:val="left" w:pos="142"/>
          <w:tab w:val="left" w:pos="284"/>
        </w:tabs>
        <w:spacing w:line="360" w:lineRule="auto"/>
        <w:rPr>
          <w:rFonts w:ascii="Palatino Linotype" w:hAnsi="Palatino Linotype"/>
          <w:b/>
          <w:sz w:val="24"/>
          <w:szCs w:val="24"/>
        </w:rPr>
      </w:pPr>
    </w:p>
    <w:p w:rsidR="00575478" w:rsidRDefault="00A71441" w:rsidP="00DB32A3">
      <w:pPr>
        <w:tabs>
          <w:tab w:val="left" w:pos="142"/>
          <w:tab w:val="left" w:pos="284"/>
        </w:tabs>
        <w:spacing w:line="360" w:lineRule="auto"/>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p w:rsidR="00D915FA" w:rsidRDefault="00D915FA" w:rsidP="00DB32A3">
      <w:pPr>
        <w:tabs>
          <w:tab w:val="left" w:pos="142"/>
          <w:tab w:val="left" w:pos="284"/>
        </w:tabs>
        <w:spacing w:line="360" w:lineRule="auto"/>
        <w:rPr>
          <w:rFonts w:ascii="Palatino Linotype" w:hAnsi="Palatino Linotype"/>
          <w:b/>
          <w:sz w:val="24"/>
          <w:szCs w:val="24"/>
        </w:rPr>
      </w:pPr>
    </w:p>
    <w:p w:rsidR="00D915FA" w:rsidRDefault="00D915FA" w:rsidP="00DB32A3">
      <w:pPr>
        <w:tabs>
          <w:tab w:val="left" w:pos="142"/>
          <w:tab w:val="left" w:pos="284"/>
        </w:tabs>
        <w:spacing w:line="360" w:lineRule="auto"/>
        <w:rPr>
          <w:rFonts w:ascii="Palatino Linotype" w:hAnsi="Palatino Linotype"/>
          <w:b/>
          <w:sz w:val="24"/>
          <w:szCs w:val="24"/>
        </w:rPr>
      </w:pPr>
    </w:p>
    <w:p w:rsidR="00D915FA" w:rsidRDefault="00D915FA" w:rsidP="00DB32A3">
      <w:pPr>
        <w:tabs>
          <w:tab w:val="left" w:pos="142"/>
          <w:tab w:val="left" w:pos="284"/>
        </w:tabs>
        <w:spacing w:line="360" w:lineRule="auto"/>
        <w:rPr>
          <w:rFonts w:ascii="Palatino Linotype" w:hAnsi="Palatino Linotype"/>
          <w:b/>
          <w:sz w:val="24"/>
          <w:szCs w:val="24"/>
        </w:rPr>
      </w:pPr>
    </w:p>
    <w:p w:rsidR="00D915FA" w:rsidRDefault="00D915FA" w:rsidP="00DB32A3">
      <w:pPr>
        <w:tabs>
          <w:tab w:val="left" w:pos="142"/>
          <w:tab w:val="left" w:pos="284"/>
        </w:tabs>
        <w:spacing w:line="360" w:lineRule="auto"/>
        <w:rPr>
          <w:rFonts w:ascii="Palatino Linotype" w:hAnsi="Palatino Linotype"/>
          <w:b/>
          <w:sz w:val="24"/>
          <w:szCs w:val="24"/>
        </w:rPr>
      </w:pPr>
    </w:p>
    <w:p w:rsidR="00D915FA" w:rsidRDefault="00D915FA" w:rsidP="00DB32A3">
      <w:pPr>
        <w:tabs>
          <w:tab w:val="left" w:pos="142"/>
          <w:tab w:val="left" w:pos="284"/>
        </w:tabs>
        <w:spacing w:line="360" w:lineRule="auto"/>
        <w:rPr>
          <w:rFonts w:ascii="Palatino Linotype" w:hAnsi="Palatino Linotype"/>
          <w:b/>
          <w:sz w:val="24"/>
          <w:szCs w:val="24"/>
        </w:rPr>
      </w:pPr>
    </w:p>
    <w:p w:rsidR="00D915FA" w:rsidRPr="00D915FA" w:rsidRDefault="00D915FA" w:rsidP="00DB32A3">
      <w:pPr>
        <w:tabs>
          <w:tab w:val="left" w:pos="142"/>
          <w:tab w:val="left" w:pos="284"/>
        </w:tabs>
        <w:spacing w:line="360" w:lineRule="auto"/>
        <w:rPr>
          <w:rFonts w:ascii="Palatino Linotype" w:hAnsi="Palatino Linotype"/>
          <w:sz w:val="24"/>
          <w:szCs w:val="24"/>
        </w:rPr>
      </w:pPr>
      <w:r>
        <w:rPr>
          <w:rFonts w:ascii="Palatino Linotype" w:hAnsi="Palatino Linotype"/>
          <w:sz w:val="24"/>
          <w:szCs w:val="24"/>
        </w:rPr>
        <w:t>Esta hoja corresponde al voto particular de veintidós (22) de octubre de dos mil dieciocho, emitido sobre la resolución del recurso de revisión número 03286/INFOEM/IP/RR/2018.</w:t>
      </w:r>
    </w:p>
    <w:sectPr w:rsidR="00D915FA" w:rsidRPr="00D915F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B12" w:rsidRDefault="006A3B12" w:rsidP="00E706DA">
      <w:pPr>
        <w:spacing w:after="0" w:line="240" w:lineRule="auto"/>
      </w:pPr>
      <w:r>
        <w:separator/>
      </w:r>
    </w:p>
  </w:endnote>
  <w:endnote w:type="continuationSeparator" w:id="0">
    <w:p w:rsidR="006A3B12" w:rsidRDefault="006A3B1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C41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64CF5">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64CF5">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6C41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C4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B12" w:rsidRDefault="006A3B12" w:rsidP="00E706DA">
      <w:pPr>
        <w:spacing w:after="0" w:line="240" w:lineRule="auto"/>
      </w:pPr>
      <w:r>
        <w:separator/>
      </w:r>
    </w:p>
  </w:footnote>
  <w:footnote w:type="continuationSeparator" w:id="0">
    <w:p w:rsidR="006A3B12" w:rsidRDefault="006A3B12"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C41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C41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C41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C41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64CF5"/>
    <w:rsid w:val="00073F0D"/>
    <w:rsid w:val="000951B4"/>
    <w:rsid w:val="00097C9C"/>
    <w:rsid w:val="000A77B5"/>
    <w:rsid w:val="000A7B66"/>
    <w:rsid w:val="000F6C81"/>
    <w:rsid w:val="000F6CBB"/>
    <w:rsid w:val="00105730"/>
    <w:rsid w:val="00122625"/>
    <w:rsid w:val="00194B6A"/>
    <w:rsid w:val="001D3F34"/>
    <w:rsid w:val="0020315F"/>
    <w:rsid w:val="002036ED"/>
    <w:rsid w:val="00222DD9"/>
    <w:rsid w:val="00225026"/>
    <w:rsid w:val="00260D6C"/>
    <w:rsid w:val="002620E9"/>
    <w:rsid w:val="00281310"/>
    <w:rsid w:val="002C1F75"/>
    <w:rsid w:val="00302832"/>
    <w:rsid w:val="00346DBD"/>
    <w:rsid w:val="00367E00"/>
    <w:rsid w:val="003705BB"/>
    <w:rsid w:val="003747A5"/>
    <w:rsid w:val="003837C2"/>
    <w:rsid w:val="003D7B9E"/>
    <w:rsid w:val="00412952"/>
    <w:rsid w:val="00413496"/>
    <w:rsid w:val="00424DE3"/>
    <w:rsid w:val="00444048"/>
    <w:rsid w:val="0046491C"/>
    <w:rsid w:val="0048490F"/>
    <w:rsid w:val="004F5418"/>
    <w:rsid w:val="00532410"/>
    <w:rsid w:val="00575478"/>
    <w:rsid w:val="005A3267"/>
    <w:rsid w:val="005C79C8"/>
    <w:rsid w:val="005F2F40"/>
    <w:rsid w:val="005F3760"/>
    <w:rsid w:val="00634736"/>
    <w:rsid w:val="00651380"/>
    <w:rsid w:val="006728FD"/>
    <w:rsid w:val="00673293"/>
    <w:rsid w:val="0069498B"/>
    <w:rsid w:val="006A3B12"/>
    <w:rsid w:val="006E2606"/>
    <w:rsid w:val="00717C0D"/>
    <w:rsid w:val="0072136B"/>
    <w:rsid w:val="0076241F"/>
    <w:rsid w:val="00770016"/>
    <w:rsid w:val="00790E37"/>
    <w:rsid w:val="007A7FAD"/>
    <w:rsid w:val="007E2CF8"/>
    <w:rsid w:val="00814E97"/>
    <w:rsid w:val="0082215F"/>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8666F"/>
    <w:rsid w:val="009B4E7D"/>
    <w:rsid w:val="009C4EF6"/>
    <w:rsid w:val="00A245F6"/>
    <w:rsid w:val="00A63717"/>
    <w:rsid w:val="00A71441"/>
    <w:rsid w:val="00AA49F3"/>
    <w:rsid w:val="00AB023D"/>
    <w:rsid w:val="00AB126B"/>
    <w:rsid w:val="00AC381E"/>
    <w:rsid w:val="00AE4797"/>
    <w:rsid w:val="00AE58DA"/>
    <w:rsid w:val="00AF73BC"/>
    <w:rsid w:val="00B120CA"/>
    <w:rsid w:val="00B62486"/>
    <w:rsid w:val="00BC7B0C"/>
    <w:rsid w:val="00BF3534"/>
    <w:rsid w:val="00C23575"/>
    <w:rsid w:val="00CA006E"/>
    <w:rsid w:val="00CE0823"/>
    <w:rsid w:val="00D33AF9"/>
    <w:rsid w:val="00D363F7"/>
    <w:rsid w:val="00D72985"/>
    <w:rsid w:val="00D7508B"/>
    <w:rsid w:val="00D915FA"/>
    <w:rsid w:val="00DA6B18"/>
    <w:rsid w:val="00DB32A3"/>
    <w:rsid w:val="00DE3995"/>
    <w:rsid w:val="00DF09A4"/>
    <w:rsid w:val="00DF4B3C"/>
    <w:rsid w:val="00DF6F7E"/>
    <w:rsid w:val="00E30CD7"/>
    <w:rsid w:val="00E34F08"/>
    <w:rsid w:val="00E35329"/>
    <w:rsid w:val="00E6129E"/>
    <w:rsid w:val="00E61AB8"/>
    <w:rsid w:val="00E706DA"/>
    <w:rsid w:val="00E83E93"/>
    <w:rsid w:val="00E90EB5"/>
    <w:rsid w:val="00E94FBF"/>
    <w:rsid w:val="00EA2C08"/>
    <w:rsid w:val="00ED288D"/>
    <w:rsid w:val="00ED57EE"/>
    <w:rsid w:val="00EF0C2D"/>
    <w:rsid w:val="00F25783"/>
    <w:rsid w:val="00F45161"/>
    <w:rsid w:val="00F46E78"/>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4791">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2417166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8CAC-DF5F-409B-86DD-5F9DAA96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1255</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2018-11-22T01:32:00Z</cp:lastPrinted>
  <dcterms:created xsi:type="dcterms:W3CDTF">2018-11-22T01:32:00Z</dcterms:created>
  <dcterms:modified xsi:type="dcterms:W3CDTF">2018-12-17T16:31:00Z</dcterms:modified>
</cp:coreProperties>
</file>